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73FB1" w14:textId="77777777" w:rsidR="00FA1E0E" w:rsidRDefault="00FA1E0E" w:rsidP="00FA1E0E">
      <w:pPr>
        <w:jc w:val="center"/>
        <w:rPr>
          <w:sz w:val="24"/>
          <w:szCs w:val="22"/>
          <w:rFonts w:ascii="Times New Roman" w:hAnsi="Times New Roman"/>
        </w:rPr>
      </w:pPr>
      <w:r>
        <w:rPr>
          <w:sz w:val="24"/>
          <w:rFonts w:ascii="Times New Roman" w:hAnsi="Times New Roman"/>
        </w:rPr>
        <w:t xml:space="preserve">SV</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sz w:val="24"/>
          <w:rFonts w:ascii="Times New Roman" w:hAnsi="Times New Roman"/>
        </w:rPr>
      </w:pPr>
      <w:r>
        <w:rPr>
          <w:sz w:val="24"/>
          <w:rFonts w:ascii="Times New Roman" w:hAnsi="Times New Roman"/>
        </w:rPr>
        <w:t xml:space="preserve">BILAGA II</w:t>
      </w:r>
    </w:p>
    <w:p w14:paraId="7B92C63B" w14:textId="77777777" w:rsidR="00C61CB8" w:rsidRPr="00037E7B" w:rsidRDefault="00C61CB8" w:rsidP="00C61CB8">
      <w:pPr>
        <w:jc w:val="center"/>
        <w:rPr>
          <w:sz w:val="24"/>
          <w:rFonts w:ascii="Times New Roman" w:hAnsi="Times New Roman"/>
        </w:rPr>
      </w:pPr>
      <w:r>
        <w:rPr>
          <w:sz w:val="24"/>
          <w:rFonts w:ascii="Times New Roman" w:hAnsi="Times New Roman"/>
        </w:rPr>
        <w:t xml:space="preserve">”BILAGA II</w:t>
      </w:r>
    </w:p>
    <w:p w14:paraId="48CBB2FB" w14:textId="77777777" w:rsidR="00C61CB8" w:rsidRPr="00037E7B" w:rsidRDefault="00C61CB8" w:rsidP="00C61CB8">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499E103D" w14:textId="77777777" w:rsidR="00C61CB8" w:rsidRDefault="00C61CB8" w:rsidP="00C61CB8"/>
    <w:p w14:paraId="4FE1D1D2" w14:textId="77777777" w:rsidR="00C61CB8" w:rsidRDefault="00C61CB8" w:rsidP="00C61CB8">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253B4114" w14:textId="77777777" w:rsidR="00C61CB8" w:rsidRDefault="00C61CB8" w:rsidP="00C61CB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D3C634C" w14:textId="77777777" w:rsidR="00C61CB8" w:rsidRPr="00736637" w:rsidRDefault="00C61CB8" w:rsidP="00C61CB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SOLVENS PÅ GRUPPNIVÅ:</w:t>
      </w:r>
      <w:r>
        <w:rPr>
          <w:sz w:val="24"/>
          <w:rFonts w:ascii="Times New Roman" w:hAnsi="Times New Roman"/>
        </w:rPr>
        <w:t xml:space="preserve"> </w:t>
      </w:r>
      <w:r>
        <w:rPr>
          <w:sz w:val="24"/>
          <w:rFonts w:ascii="Times New Roman" w:hAnsi="Times New Roman"/>
        </w:rPr>
        <w:t xml:space="preserve">INFORMATION OM NÄRSTÅENDE FÖRETAG (GS)</w:t>
      </w:r>
    </w:p>
    <w:p w14:paraId="6AEF8BDA"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sz w:val="24"/>
          <w:u w:val="none"/>
          <w:rFonts w:ascii="Times New Roman" w:hAnsi="Times New Roman"/>
        </w:rPr>
        <w:t xml:space="preserve">2.1.</w:t>
      </w:r>
      <w:r>
        <w:rPr>
          <w:sz w:val="24"/>
          <w:u w:val="none"/>
          <w:rFonts w:ascii="Times New Roman" w:hAnsi="Times New Roman"/>
        </w:rPr>
        <w:tab/>
      </w:r>
      <w:r>
        <w:rPr>
          <w:sz w:val="24"/>
          <w:rFonts w:ascii="Times New Roman" w:hAnsi="Times New Roman"/>
        </w:rPr>
        <w:t xml:space="preserve">Allmänna kommentarer</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27</w:t>
      </w:r>
      <w:r>
        <w:fldChar w:fldCharType="end"/>
      </w:r>
      <w:r>
        <w:t xml:space="preserve">.</w:t>
      </w:r>
      <w:r>
        <w:tab/>
      </w:r>
      <w:r>
        <w:t xml:space="preserve">Mallarna C 06.01 och C 06.02 ska rapporteras om kapitalbaskrav beräknas på gruppnivå.</w:t>
      </w:r>
      <w:r>
        <w:t xml:space="preserve"> </w:t>
      </w:r>
      <w:r>
        <w:t xml:space="preserve">Mall C 06.02 består av följande fyra delar, för att man ska kunna samla in uppgifter om varje enskild enhet (inbegripet det rapporterande institutet) som omfattas av konsolideringen:</w:t>
      </w:r>
    </w:p>
    <w:p w14:paraId="427E4E34" w14:textId="77777777" w:rsidR="00173F08" w:rsidRPr="002A677E" w:rsidRDefault="00173F08" w:rsidP="00173F08">
      <w:pPr>
        <w:pStyle w:val="InstructionsText2"/>
        <w:numPr>
          <w:ilvl w:val="0"/>
          <w:numId w:val="0"/>
        </w:numPr>
        <w:ind w:left="993"/>
      </w:pPr>
      <w:r>
        <w:t xml:space="preserve">(a)</w:t>
      </w:r>
      <w:r>
        <w:tab/>
      </w:r>
      <w:r>
        <w:t xml:space="preserve">Enheter som omfattas av konsolideringen.</w:t>
      </w:r>
    </w:p>
    <w:p w14:paraId="028B029B" w14:textId="77777777" w:rsidR="00173F08" w:rsidRPr="002A677E" w:rsidRDefault="00173F08" w:rsidP="00173F08">
      <w:pPr>
        <w:pStyle w:val="InstructionsText2"/>
        <w:numPr>
          <w:ilvl w:val="0"/>
          <w:numId w:val="0"/>
        </w:numPr>
        <w:ind w:left="993"/>
      </w:pPr>
      <w:r>
        <w:t xml:space="preserve">(b)</w:t>
      </w:r>
      <w:r>
        <w:tab/>
      </w:r>
      <w:r>
        <w:t xml:space="preserve">Detaljerade uppgifter om gruppens solvens.</w:t>
      </w:r>
    </w:p>
    <w:p w14:paraId="29EF9308" w14:textId="77777777" w:rsidR="00173F08" w:rsidRPr="002A677E" w:rsidRDefault="00173F08" w:rsidP="00173F08">
      <w:pPr>
        <w:pStyle w:val="InstructionsText2"/>
        <w:numPr>
          <w:ilvl w:val="0"/>
          <w:numId w:val="0"/>
        </w:numPr>
        <w:ind w:left="993"/>
      </w:pPr>
      <w:r>
        <w:t xml:space="preserve">(c)</w:t>
      </w:r>
      <w:r>
        <w:tab/>
      </w:r>
      <w:r>
        <w:t xml:space="preserve">Uppgifter om hur enskilda enheter bidrar till gruppens solvens.</w:t>
      </w:r>
    </w:p>
    <w:p w14:paraId="66E85F84" w14:textId="77777777" w:rsidR="00173F08" w:rsidRPr="002A677E" w:rsidRDefault="00173F08" w:rsidP="00173F08">
      <w:pPr>
        <w:pStyle w:val="InstructionsText2"/>
        <w:numPr>
          <w:ilvl w:val="0"/>
          <w:numId w:val="0"/>
        </w:numPr>
        <w:ind w:left="993"/>
      </w:pPr>
      <w:r>
        <w:t xml:space="preserve">(d)</w:t>
      </w:r>
      <w:r>
        <w:tab/>
      </w:r>
      <w:r>
        <w:t xml:space="preserve">Uppgifter om kapitalbuffertar.</w:t>
      </w:r>
    </w:p>
    <w:p w14:paraId="7BA531FA" w14:textId="701A6BC9" w:rsidR="00173F08" w:rsidRPr="002A677E" w:rsidRDefault="00173F08" w:rsidP="00173F08">
      <w:pPr>
        <w:pStyle w:val="InstructionsText2"/>
        <w:numPr>
          <w:ilvl w:val="0"/>
          <w:numId w:val="0"/>
        </w:numPr>
      </w:pPr>
      <w:r>
        <w:fldChar w:fldCharType="begin" w:dirty="true"/>
      </w:r>
      <w:r>
        <w:instrText>seq paragraphs</w:instrText>
      </w:r>
      <w:r>
        <w:fldChar w:fldCharType="separate"/>
      </w:r>
      <w:r>
        <w:t>28</w:t>
      </w:r>
      <w:r>
        <w:fldChar w:fldCharType="end"/>
      </w:r>
      <w:r>
        <w:t xml:space="preserve">.</w:t>
      </w:r>
      <w:r>
        <w:tab/>
      </w:r>
      <w:r>
        <w:t xml:space="preserve">Institut som har beviljats undantag i enlighet med artikel 7 i förordning (EU) nr 575/2013 ska bara rapportera kolumnerna 0010–0065 och 0250–0400.</w:t>
      </w:r>
    </w:p>
    <w:p w14:paraId="0B7B3AA9"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29</w:t>
      </w:r>
      <w:r>
        <w:fldChar w:fldCharType="end"/>
      </w:r>
      <w:r>
        <w:t xml:space="preserve">.</w:t>
      </w:r>
      <w:r>
        <w:tab/>
      </w:r>
      <w:r>
        <w:t xml:space="preserve">I de siffror som rapporteras beaktas alla tillämpliga övergångsbestämmelser i förordning (EU) nr 575/2013 som gäller på respektive rapporteringsdatum.</w:t>
      </w:r>
    </w:p>
    <w:p w14:paraId="11861C2C" w14:textId="77777777" w:rsidR="00173F08" w:rsidRPr="002A677E" w:rsidRDefault="00173F08" w:rsidP="00173F08">
      <w:pPr>
        <w:pStyle w:val="Instructionsberschrift2"/>
        <w:numPr>
          <w:ilvl w:val="0"/>
          <w:numId w:val="0"/>
        </w:numPr>
        <w:rPr>
          <w:sz w:val="24"/>
          <w:rFonts w:ascii="Times New Roman" w:hAnsi="Times New Roman" w:cs="Times New Roman"/>
        </w:rPr>
      </w:pPr>
      <w:bookmarkStart w:id="7" w:name="_Toc360188341"/>
      <w:bookmarkStart w:id="8" w:name="_Toc473560889"/>
      <w:bookmarkStart w:id="9" w:name="_Toc151714377"/>
      <w:r>
        <w:rPr>
          <w:sz w:val="24"/>
          <w:u w:val="none"/>
          <w:rFonts w:ascii="Times New Roman" w:hAnsi="Times New Roman"/>
        </w:rPr>
        <w:t xml:space="preserve">2.2.</w:t>
      </w:r>
      <w:r>
        <w:rPr>
          <w:sz w:val="24"/>
          <w:u w:val="none"/>
          <w:rFonts w:ascii="Times New Roman" w:hAnsi="Times New Roman"/>
        </w:rPr>
        <w:tab/>
      </w:r>
      <w:r>
        <w:rPr>
          <w:sz w:val="24"/>
          <w:rFonts w:ascii="Times New Roman" w:hAnsi="Times New Roman"/>
        </w:rPr>
        <w:t xml:space="preserve">Detaljerade uppgifter om gruppens solvens</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dirty="true"/>
      </w:r>
      <w:r>
        <w:instrText>seq paragraphs</w:instrText>
      </w:r>
      <w:r>
        <w:fldChar w:fldCharType="separate"/>
      </w:r>
      <w:r>
        <w:t>30</w:t>
      </w:r>
      <w:r>
        <w:fldChar w:fldCharType="end"/>
      </w:r>
      <w:r>
        <w:t xml:space="preserve">.</w:t>
      </w:r>
      <w:r>
        <w:tab/>
      </w:r>
      <w:r>
        <w:t xml:space="preserve">Den andra delen av mall C 06.02 (detaljerade uppgifter om solvens på gruppnivå) i kolumnerna 0070–0240 syftar till att samla in uppgifter om kreditinstitut och andra reglerade finansiella institut som i praktiken omfattas av särskilda solvenskrav på individuell nivå.</w:t>
      </w:r>
      <w:r>
        <w:t xml:space="preserve"> </w:t>
      </w:r>
      <w:r>
        <w:t xml:space="preserve">För var och en av de enheter som omfattas av rapporteringen anges kapitalbaskraven för varje riskkategori och kapitalbasen för kapitaltäckningsändamål.</w:t>
      </w:r>
      <w:r>
        <w:t xml:space="preserve"> </w:t>
      </w:r>
    </w:p>
    <w:p w14:paraId="75F5EA26"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31</w:t>
      </w:r>
      <w:r>
        <w:fldChar w:fldCharType="end"/>
      </w:r>
      <w:r>
        <w:t xml:space="preserve">.</w:t>
      </w:r>
      <w:r>
        <w:tab/>
      </w:r>
      <w:r>
        <w:t xml:space="preserve">Vid proportionell konsolidering av ägarintressena ska de siffror som rör kapitalbaskrav och kapitalbas avspegla respektive andel av värdet.</w:t>
      </w:r>
    </w:p>
    <w:p w14:paraId="7624B8E0" w14:textId="77777777" w:rsidR="00173F08" w:rsidRPr="002A677E" w:rsidRDefault="00173F08" w:rsidP="00173F08">
      <w:pPr>
        <w:pStyle w:val="Instructionsberschrift2"/>
        <w:numPr>
          <w:ilvl w:val="0"/>
          <w:numId w:val="0"/>
        </w:numPr>
        <w:rPr>
          <w:sz w:val="24"/>
          <w:rFonts w:ascii="Times New Roman" w:hAnsi="Times New Roman" w:cs="Times New Roman"/>
        </w:rPr>
      </w:pPr>
      <w:bookmarkStart w:id="10" w:name="_Toc360188342"/>
      <w:bookmarkStart w:id="11" w:name="_Toc473560890"/>
      <w:bookmarkStart w:id="12" w:name="_Toc151714378"/>
      <w:r>
        <w:rPr>
          <w:sz w:val="24"/>
          <w:u w:val="none"/>
          <w:rFonts w:ascii="Times New Roman" w:hAnsi="Times New Roman"/>
        </w:rPr>
        <w:t xml:space="preserve">2.3.</w:t>
      </w:r>
      <w:r>
        <w:rPr>
          <w:sz w:val="24"/>
          <w:u w:val="none"/>
          <w:rFonts w:ascii="Times New Roman" w:hAnsi="Times New Roman"/>
        </w:rPr>
        <w:tab/>
      </w:r>
      <w:r>
        <w:rPr>
          <w:sz w:val="24"/>
          <w:rFonts w:ascii="Times New Roman" w:hAnsi="Times New Roman"/>
        </w:rPr>
        <w:t xml:space="preserve">Uppgifter om hur enskilda enheter bidrar till gruppens solvens</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32</w:t>
      </w:r>
      <w:r>
        <w:fldChar w:fldCharType="end"/>
      </w:r>
      <w:r>
        <w:t xml:space="preserve">.</w:t>
      </w:r>
      <w:r>
        <w:tab/>
      </w:r>
      <w:r>
        <w:t xml:space="preserve">Syftet med den tredje delen av mall C 06.02 och mall C 06.01 (uppgifter om hur samtliga enheter som i enlighet med förordning (EU) nr 575/2013 omfattas av konsolideringen bidrar till gruppens solvens), inbegripet enheter som inte omfattas av särskilda solvenskrav på individuell nivå) i kolumnerna 0250–0400, är att fastställa vilka enheter i gruppen som ger upphov till risker och hämtar sin kapitalbas från marknaden. Detta grundas på uppgifter som är lättillgängliga eller som enkelt kan omarbetas, utan att kapitalrelationen måste rekonstrueras på individuell nivå eller undergruppsnivå.</w:t>
      </w:r>
      <w:r>
        <w:t xml:space="preserve"> </w:t>
      </w:r>
      <w:r>
        <w:t xml:space="preserve">På enhetsnivå bidrar både siffrorna för risken och siffrorna för kapitalbasen till gruppens siffror och utgör inte sådana delar av en kapitalrelation på individuell nivå som ska jämföras med varandra.</w:t>
      </w:r>
      <w:r>
        <w:t xml:space="preserve"> </w:t>
      </w:r>
    </w:p>
    <w:p w14:paraId="08EA3F6A"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33</w:t>
      </w:r>
      <w:r>
        <w:fldChar w:fldCharType="end"/>
      </w:r>
      <w:r>
        <w:t xml:space="preserve">.</w:t>
      </w:r>
      <w:r>
        <w:tab/>
      </w:r>
      <w:r>
        <w:t xml:space="preserve">I den tredje delen tas även upp värdet av minoritetsintressen, kvalificerande primärkapitaltillskott och kvalificerande supplementärkapital som godtas i den konsoliderade kapitalbasen.</w:t>
      </w:r>
    </w:p>
    <w:p w14:paraId="1D8F8CC4"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34</w:t>
      </w:r>
      <w:r>
        <w:fldChar w:fldCharType="end"/>
      </w:r>
      <w:r>
        <w:t xml:space="preserve">.</w:t>
      </w:r>
      <w:r>
        <w:tab/>
      </w:r>
      <w:r>
        <w:t xml:space="preserve">Eftersom mallens tredje del avser ”bidrag” ska de belopp som rapporteras i den delen vid behov dras av från de belopp som rapporteras i de kolumner som avser detaljerade uppgifter om gruppens solvens.</w:t>
      </w:r>
    </w:p>
    <w:p w14:paraId="27180B14"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35</w:t>
      </w:r>
      <w:r>
        <w:fldChar w:fldCharType="end"/>
      </w:r>
      <w:r>
        <w:t xml:space="preserve">.</w:t>
      </w:r>
      <w:r>
        <w:tab/>
      </w:r>
      <w:r>
        <w:t xml:space="preserve">Grundregeln är att man stryker de överlappande exponeringarna inom samma grupp på ett enhetligt sätt med avseende på både risker och kapitalbas, för att täcka de belopp som rapporteras i gruppens konsoliderade CA-mall genom att lägga till de belopp som rapporteras per enhet i mallen för solvens på gruppnivå.</w:t>
      </w:r>
      <w:r>
        <w:t xml:space="preserve"> </w:t>
      </w:r>
      <w:r>
        <w:t xml:space="preserve">En direkt länk till CA-mallen är inte möjlig om tröskelvärdet på 1 % inte överstigs.</w:t>
      </w:r>
    </w:p>
    <w:p w14:paraId="606DC9DE"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36</w:t>
      </w:r>
      <w:r>
        <w:fldChar w:fldCharType="end"/>
      </w:r>
      <w:r>
        <w:t xml:space="preserve">.</w:t>
      </w:r>
      <w:r>
        <w:tab/>
      </w:r>
      <w:r>
        <w:t xml:space="preserve">Instituten ska ange vilken metod för uppdelning mellan enheterna som bäst tar hänsyn till de eventuella diversifieringseffekterna för marknadsrisk och operativ risk.</w:t>
      </w:r>
    </w:p>
    <w:p w14:paraId="6EE62E0D"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37</w:t>
      </w:r>
      <w:r>
        <w:fldChar w:fldCharType="end"/>
      </w:r>
      <w:r>
        <w:t xml:space="preserve">.</w:t>
      </w:r>
      <w:r>
        <w:tab/>
      </w:r>
      <w:r>
        <w:t xml:space="preserve">En konsoliderad grupp kan ingå i en annan konsoliderad grupp.</w:t>
      </w:r>
      <w:r>
        <w:t xml:space="preserve"> </w:t>
      </w:r>
      <w:r>
        <w:t xml:space="preserve">Detta innebär att enheter som ingår i en undergrupp ska rapporteras enhet för enhet i GS-mallen för hela gruppen även om undergruppen själv omfattas av rapporteringskrav.</w:t>
      </w:r>
      <w:r>
        <w:t xml:space="preserve"> </w:t>
      </w:r>
      <w:r>
        <w:t xml:space="preserve">En undergrupp som omfattas av rapporteringskrav ska också rapportera GS-mallen enhetsvis, även om dessa uppgifter redovisas i GS-mallen för en överordnad konsoliderad grupp.</w:t>
      </w:r>
      <w:r>
        <w:t xml:space="preserve"> </w:t>
      </w:r>
    </w:p>
    <w:p w14:paraId="0F8191DA"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38</w:t>
      </w:r>
      <w:r>
        <w:fldChar w:fldCharType="end"/>
      </w:r>
      <w:r>
        <w:t xml:space="preserve">.</w:t>
      </w:r>
      <w:r>
        <w:tab/>
      </w:r>
      <w:r>
        <w:t xml:space="preserve">Ett institut ska rapportera uppgifter om en enhets bidrag, om dess bidrag till det totala riskvägda exponeringsbeloppet överstiger 1 % av gruppens totala riskexponerade belopp eller om dess bidrag till den totala kapitalbasen överstiger 1 % av gruppens totala kapitalbas.</w:t>
      </w:r>
      <w:r>
        <w:t xml:space="preserve"> </w:t>
      </w:r>
      <w:r>
        <w:t xml:space="preserve">Denna gräns tillämpas inte för dotterföretag eller undergrupper som tillhandahåller kapitalbas till gruppen (i form av minoritetsintressen eller kvalificerande primärkapitaltillskotts- eller supplementärkapitalinstrument som ingår i kapitalbasen).</w:t>
      </w:r>
    </w:p>
    <w:p w14:paraId="78C505AC"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bookmarkStart w:id="13" w:name="_Toc473560891"/>
      <w:bookmarkStart w:id="14" w:name="_Toc151714379"/>
      <w:r>
        <w:rPr>
          <w:sz w:val="24"/>
          <w:u w:val="none"/>
          <w:rFonts w:ascii="Times New Roman" w:hAnsi="Times New Roman"/>
        </w:rPr>
        <w:t xml:space="preserve">2.4.</w:t>
      </w:r>
      <w:r>
        <w:rPr>
          <w:sz w:val="24"/>
          <w:u w:val="none"/>
          <w:rFonts w:ascii="Times New Roman" w:hAnsi="Times New Roman"/>
        </w:rPr>
        <w:tab/>
      </w:r>
      <w:r>
        <w:rPr>
          <w:sz w:val="24"/>
          <w:rFonts w:ascii="Times New Roman" w:hAnsi="Times New Roman"/>
        </w:rPr>
        <w:t xml:space="preserve">C 06.01 – SOLVENS PÅ GRUPPNIVÅ:</w:t>
      </w:r>
      <w:r>
        <w:rPr>
          <w:sz w:val="24"/>
          <w:rFonts w:ascii="Times New Roman" w:hAnsi="Times New Roman"/>
        </w:rPr>
        <w:t xml:space="preserve"> </w:t>
      </w:r>
      <w:r>
        <w:rPr>
          <w:sz w:val="24"/>
          <w:rFonts w:ascii="Times New Roman" w:hAnsi="Times New Roman"/>
        </w:rPr>
        <w:t xml:space="preserve">INFORMATION OM NÄRSTÅENDE FÖRETAG – Summa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Kolumn</w:t>
            </w:r>
          </w:p>
        </w:tc>
        <w:tc>
          <w:tcPr>
            <w:tcW w:w="8640" w:type="dxa"/>
            <w:shd w:val="clear" w:color="auto" w:fill="CCCCCC"/>
          </w:tcPr>
          <w:p w14:paraId="3D7B9BD1"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Instruktioner</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0250–0400</w:t>
            </w:r>
          </w:p>
        </w:tc>
        <w:tc>
          <w:tcPr>
            <w:tcW w:w="8640" w:type="dxa"/>
          </w:tcPr>
          <w:p w14:paraId="61E5CB2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ENHETER SOM INGÅR I GRUPPEN</w:t>
            </w:r>
          </w:p>
          <w:p w14:paraId="47AE8E6C" w14:textId="77777777" w:rsidR="00173F08" w:rsidRPr="002A677E" w:rsidRDefault="00173F08" w:rsidP="00822842">
            <w:pPr>
              <w:rPr>
                <w:rStyle w:val="InstructionsTabelleberschrift"/>
                <w:b w:val="0"/>
                <w:bCs w:val="0"/>
                <w:sz w:val="24"/>
                <w:rFonts w:ascii="Times New Roman" w:hAnsi="Times New Roman"/>
              </w:rPr>
            </w:pPr>
            <w:r>
              <w:rPr>
                <w:rStyle w:val="InstructionsTabelleText"/>
                <w:sz w:val="24"/>
                <w:rFonts w:ascii="Times New Roman" w:hAnsi="Times New Roman"/>
              </w:rPr>
              <w:t xml:space="preserve">Se instruktioner för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KAPITALBUFFERTAR</w:t>
            </w:r>
          </w:p>
          <w:p w14:paraId="4257537D"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Se instruktioner för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Rad</w:t>
            </w:r>
          </w:p>
        </w:tc>
        <w:tc>
          <w:tcPr>
            <w:tcW w:w="8640" w:type="dxa"/>
            <w:shd w:val="clear" w:color="auto" w:fill="CCCCCC"/>
          </w:tcPr>
          <w:p w14:paraId="49120A0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Instruktioner</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50489F38"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SUMMA</w:t>
            </w:r>
          </w:p>
          <w:p w14:paraId="0D110F46" w14:textId="77777777" w:rsidR="00173F08" w:rsidRPr="002A677E" w:rsidRDefault="00173F08" w:rsidP="00822842">
            <w:pPr>
              <w:rPr>
                <w:rStyle w:val="InstructionsTabelleberschrift"/>
                <w:b w:val="0"/>
                <w:bCs w:val="0"/>
                <w:sz w:val="24"/>
                <w:rFonts w:ascii="Times New Roman" w:hAnsi="Times New Roman"/>
              </w:rPr>
            </w:pPr>
            <w:r>
              <w:rPr>
                <w:rStyle w:val="InstructionsTabelleText"/>
                <w:sz w:val="24"/>
                <w:rFonts w:ascii="Times New Roman" w:hAnsi="Times New Roman"/>
              </w:rPr>
              <w:t xml:space="preserve">Totalsumman ska utgöra summan av de värden som rapporterats i samtliga mallrader i mall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bookmarkStart w:id="15" w:name="_Toc473560892"/>
      <w:bookmarkStart w:id="16" w:name="_Toc151714380"/>
      <w:r>
        <w:rPr>
          <w:sz w:val="24"/>
          <w:u w:val="none"/>
          <w:rFonts w:ascii="Times New Roman" w:hAnsi="Times New Roman"/>
        </w:rPr>
        <w:t xml:space="preserve">2.5.</w:t>
      </w:r>
      <w:r>
        <w:rPr>
          <w:sz w:val="24"/>
          <w:u w:val="none"/>
          <w:rFonts w:ascii="Times New Roman" w:hAnsi="Times New Roman"/>
        </w:rPr>
        <w:tab/>
      </w:r>
      <w:r>
        <w:rPr>
          <w:sz w:val="24"/>
          <w:rFonts w:ascii="Times New Roman" w:hAnsi="Times New Roman"/>
        </w:rPr>
        <w:t xml:space="preserve">C 06.02 – SOLVENS PÅ GRUPPNIVÅ:</w:t>
      </w:r>
      <w:r>
        <w:rPr>
          <w:sz w:val="24"/>
          <w:rFonts w:ascii="Times New Roman" w:hAnsi="Times New Roman"/>
        </w:rPr>
        <w:t xml:space="preserve"> </w:t>
      </w:r>
      <w:r>
        <w:rPr>
          <w:sz w:val="24"/>
          <w:rFonts w:ascii="Times New Roman" w:hAnsi="Times New Roman"/>
        </w:rPr>
        <w:t xml:space="preserve">INFORMATION OM NÄRSTÅENDE FÖRETAG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Kolumn</w:t>
            </w:r>
          </w:p>
        </w:tc>
        <w:tc>
          <w:tcPr>
            <w:tcW w:w="8640" w:type="dxa"/>
            <w:shd w:val="clear" w:color="auto" w:fill="CCCCCC"/>
          </w:tcPr>
          <w:p w14:paraId="5B03B40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Instruktioner</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0011–0060</w:t>
            </w:r>
          </w:p>
        </w:tc>
        <w:tc>
          <w:tcPr>
            <w:tcW w:w="8640" w:type="dxa"/>
          </w:tcPr>
          <w:p w14:paraId="00983D2E"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ENHETER SOM INGÅR I GRUPPEN</w:t>
            </w:r>
          </w:p>
          <w:p w14:paraId="6B6FD15E" w14:textId="77777777" w:rsidR="00173F08" w:rsidRPr="002A677E" w:rsidRDefault="00173F08" w:rsidP="00822842">
            <w:pPr>
              <w:rPr>
                <w:rStyle w:val="InstructionsTabelleberschrift"/>
                <w:b w:val="0"/>
                <w:bCs w:val="0"/>
                <w:sz w:val="24"/>
                <w:rFonts w:ascii="Times New Roman" w:hAnsi="Times New Roman"/>
              </w:rPr>
            </w:pPr>
            <w:r>
              <w:rPr>
                <w:sz w:val="24"/>
                <w:rStyle w:val="InstructionsTabelleText"/>
                <w:rFonts w:ascii="Times New Roman" w:hAnsi="Times New Roman"/>
              </w:rPr>
              <w:t xml:space="preserve">Denna mall är utformad för insamling av uppgifter om var och en av de enheter som omfattas av konsolidering i enlighet med del ett avdelning II kapitel 2 i förordning (EU) nr 575/2013.</w:t>
            </w:r>
            <w:r>
              <w:rPr>
                <w:sz w:val="24"/>
                <w:rStyle w:val="InstructionsTabelleText"/>
                <w:rFonts w:ascii="Times New Roman" w:hAnsi="Times New Roman"/>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0011</w:t>
            </w:r>
          </w:p>
        </w:tc>
        <w:tc>
          <w:tcPr>
            <w:tcW w:w="8640" w:type="dxa"/>
          </w:tcPr>
          <w:p w14:paraId="02F7D96C"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NAMN</w:t>
            </w:r>
          </w:p>
          <w:p w14:paraId="795CC1B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Namnet på den enhet som omfattas av konsolideringen.</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0021</w:t>
            </w:r>
          </w:p>
        </w:tc>
        <w:tc>
          <w:tcPr>
            <w:tcW w:w="8640" w:type="dxa"/>
          </w:tcPr>
          <w:p w14:paraId="54EC559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KOD</w:t>
            </w:r>
          </w:p>
          <w:p w14:paraId="099B8601" w14:textId="77777777" w:rsidR="00173F08" w:rsidRPr="002A677E" w:rsidRDefault="00173F08" w:rsidP="00822842">
            <w:pPr>
              <w:pStyle w:val="InstructionsText"/>
              <w:rPr>
                <w:rStyle w:val="InstructionsTabelleText"/>
              </w:rPr>
            </w:pPr>
            <w:r>
              <w:rPr>
                <w:rStyle w:val="InstructionsTabelleText"/>
              </w:rPr>
              <w:t xml:space="preserve">Koden som en del av en radidentifierare måste vara unik för varje rapporterad enhet.</w:t>
            </w:r>
            <w:r>
              <w:rPr>
                <w:rStyle w:val="InstructionsTabelleText"/>
              </w:rPr>
              <w:t xml:space="preserve"> </w:t>
            </w:r>
            <w:r>
              <w:rPr>
                <w:rStyle w:val="InstructionsTabelleText"/>
              </w:rPr>
              <w:t xml:space="preserve">För institut och försäkringsföretag ska koden vara LEI-koden.</w:t>
            </w:r>
            <w:r>
              <w:rPr>
                <w:rStyle w:val="InstructionsTabelleText"/>
              </w:rPr>
              <w:t xml:space="preserve"> </w:t>
            </w:r>
            <w:r>
              <w:rPr>
                <w:rStyle w:val="InstructionsTabelleText"/>
              </w:rPr>
              <w:t xml:space="preserve">För andra enheter ska koden vara LEI-koden eller, om sådan kod saknas, en nationell kod.</w:t>
            </w:r>
            <w:r>
              <w:rPr>
                <w:rStyle w:val="InstructionsTabelleText"/>
              </w:rPr>
              <w:t xml:space="preserve"> </w:t>
            </w:r>
            <w:r>
              <w:rPr>
                <w:rStyle w:val="InstructionsTabelleText"/>
              </w:rPr>
              <w:t xml:space="preserve">Koden ska vara unik och användas konsekvent i mallarna och över tiden.</w:t>
            </w:r>
            <w:r>
              <w:rPr>
                <w:rStyle w:val="InstructionsTabelleText"/>
              </w:rPr>
              <w:t xml:space="preserve"> </w:t>
            </w:r>
            <w:r>
              <w:rPr>
                <w:rStyle w:val="InstructionsTabelleText"/>
              </w:rPr>
              <w:t xml:space="preserve">Koden ska alltid ha ett värde.</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0026</w:t>
            </w:r>
          </w:p>
        </w:tc>
        <w:tc>
          <w:tcPr>
            <w:tcW w:w="8640" w:type="dxa"/>
          </w:tcPr>
          <w:p w14:paraId="5B6693C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TYP AV KOD</w:t>
            </w:r>
          </w:p>
          <w:p w14:paraId="094070A5" w14:textId="77777777" w:rsidR="00173F08" w:rsidRPr="002A677E" w:rsidRDefault="00173F08" w:rsidP="00822842">
            <w:pPr>
              <w:rPr>
                <w:rStyle w:val="InstructionsTabelleberschrift"/>
                <w:sz w:val="24"/>
                <w:rFonts w:ascii="Times New Roman" w:hAnsi="Times New Roman"/>
              </w:rPr>
            </w:pPr>
            <w:r>
              <w:rPr>
                <w:sz w:val="24"/>
                <w:rStyle w:val="InstructionsTabelleText"/>
                <w:rFonts w:ascii="Times New Roman" w:hAnsi="Times New Roman"/>
              </w:rPr>
              <w:t xml:space="preserve">Instituten ska ange typ av kod som rapporteras i </w:t>
            </w:r>
            <w:r>
              <w:rPr>
                <w:sz w:val="24"/>
                <w:rStyle w:val="FormatvorlageInstructionsTabelleText"/>
                <w:rFonts w:ascii="Times New Roman" w:hAnsi="Times New Roman"/>
              </w:rPr>
              <w:t xml:space="preserve">kolumn 0021 som ”LEI-kod” eller ”ej LEI-kod”.</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Typ av kod ska alltid rapporteras.</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0027</w:t>
            </w:r>
          </w:p>
        </w:tc>
        <w:tc>
          <w:tcPr>
            <w:tcW w:w="8640" w:type="dxa"/>
          </w:tcPr>
          <w:p w14:paraId="046D2852"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NATIONELL KOD</w:t>
            </w:r>
          </w:p>
          <w:p w14:paraId="6AB087F6" w14:textId="77777777" w:rsidR="00173F08" w:rsidRPr="002A677E" w:rsidDel="00BF0637" w:rsidRDefault="00173F08" w:rsidP="00822842">
            <w:pPr>
              <w:rPr>
                <w:rStyle w:val="InstructionsTabelleberschrift"/>
                <w:sz w:val="24"/>
                <w:rFonts w:ascii="Times New Roman" w:hAnsi="Times New Roman"/>
              </w:rPr>
            </w:pPr>
            <w:r>
              <w:rPr>
                <w:sz w:val="24"/>
                <w:rFonts w:ascii="Times New Roman" w:hAnsi="Times New Roman"/>
              </w:rPr>
              <w:t xml:space="preserve">Instituten kan även rapportera den nationella koden när de rapporterar LEI-kod som identifierare i kolumnen ”Kod”.</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8640" w:type="dxa"/>
          </w:tcPr>
          <w:p w14:paraId="51843D3A"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INSTITUT ELLER MOTSVARANDE (JA/NEJ)</w:t>
            </w:r>
          </w:p>
          <w:p w14:paraId="592DC07F"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”JA” ska anges om enheten omfattas av kapitalbaskraven enligt förordning (EU) nr 575/2013 och direktiv 2013/36/EU eller bestämmelser som åtminstone är likvärdiga Basel-bestämmelserna.</w:t>
            </w:r>
          </w:p>
          <w:p w14:paraId="4B3EAD9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 annat fall ska ”NEJ” anges.</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sz w:val="24"/>
                <w:rFonts w:ascii="Times New Roman" w:hAnsi="Times New Roman"/>
              </w:rPr>
            </w:pPr>
            <w:r>
              <w:rPr>
                <w:rStyle w:val="InstructionsTabelleText"/>
                <w:sz w:val="24"/>
                <w:rFonts w:ascii="Wingdings" w:hAnsi="Wingdings"/>
              </w:rPr>
              <w:t xml:space="preserve"></w:t>
            </w:r>
            <w:r>
              <w:rPr>
                <w:rStyle w:val="InstructionsTabelleText"/>
                <w:sz w:val="24"/>
                <w:rFonts w:ascii="Wingdings" w:hAnsi="Wingdings"/>
              </w:rPr>
              <w:tab/>
            </w:r>
            <w:r>
              <w:rPr>
                <w:rStyle w:val="InstructionsTabelleText"/>
                <w:sz w:val="24"/>
                <w:rFonts w:ascii="Times New Roman" w:hAnsi="Times New Roman"/>
              </w:rPr>
              <w:t xml:space="preserve">Minoritetsintressen:</w:t>
            </w:r>
          </w:p>
          <w:p w14:paraId="753444E9"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 </w:t>
            </w:r>
            <w:r>
              <w:rPr>
                <w:sz w:val="24"/>
                <w:rFonts w:ascii="Times New Roman" w:hAnsi="Times New Roman"/>
              </w:rPr>
              <w:t xml:space="preserve">Artikel 81.1 a ii och artikel 82.1 a ii) i förordning (EU) nr 575/2013</w:t>
            </w:r>
          </w:p>
          <w:p w14:paraId="714487FE"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För att minoritetsintressen och primärkapitaltillskotts- och supplementärkapitalinstrument som ges ut av ett dotterföretag ska kunna vara godtagbara måste dotterföretaget vara ett institut eller företag som enligt tillämplig nationell lagstiftning omfattas av kraven i förordning (EU) nr 575/2013.</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0035</w:t>
            </w:r>
          </w:p>
        </w:tc>
        <w:tc>
          <w:tcPr>
            <w:tcW w:w="8640" w:type="dxa"/>
          </w:tcPr>
          <w:p w14:paraId="301D03B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TYP AV ENHET</w:t>
            </w:r>
          </w:p>
          <w:p w14:paraId="64249F7B" w14:textId="77777777" w:rsidR="00173F08" w:rsidRPr="002A677E" w:rsidRDefault="00173F08" w:rsidP="00822842">
            <w:pPr>
              <w:rPr>
                <w:rStyle w:val="InstructionsTabelleText"/>
                <w:bCs/>
                <w:sz w:val="24"/>
                <w:rFonts w:ascii="Times New Roman" w:hAnsi="Times New Roman"/>
              </w:rPr>
            </w:pPr>
            <w:r>
              <w:rPr>
                <w:rStyle w:val="InstructionsTabelleText"/>
                <w:sz w:val="24"/>
                <w:rFonts w:ascii="Times New Roman" w:hAnsi="Times New Roman"/>
              </w:rPr>
              <w:t xml:space="preserve">Typ av enhet ska rapporteras baserat på följande kategorier:</w:t>
            </w:r>
          </w:p>
          <w:p w14:paraId="6C071244" w14:textId="77777777" w:rsidR="00173F08" w:rsidRPr="002A677E" w:rsidRDefault="00173F08" w:rsidP="00822842">
            <w:pPr>
              <w:tabs>
                <w:tab w:val="left" w:pos="372"/>
              </w:tabs>
              <w:rPr>
                <w:rStyle w:val="InstructionsTabelleText"/>
                <w:sz w:val="24"/>
                <w:rFonts w:ascii="Times New Roman" w:hAnsi="Times New Roman"/>
              </w:rPr>
            </w:pPr>
            <w:r>
              <w:rPr>
                <w:rStyle w:val="InstructionsTabelleText"/>
                <w:sz w:val="24"/>
                <w:rFonts w:ascii="Times New Roman" w:hAnsi="Times New Roman"/>
              </w:rPr>
              <w:t xml:space="preserve">(a)</w:t>
            </w:r>
            <w:r>
              <w:rPr>
                <w:rStyle w:val="InstructionsTabelleText"/>
                <w:sz w:val="24"/>
                <w:rFonts w:ascii="Times New Roman" w:hAnsi="Times New Roman"/>
              </w:rPr>
              <w:tab/>
            </w:r>
            <w:r>
              <w:rPr>
                <w:rStyle w:val="InstructionsTabelleText"/>
                <w:sz w:val="24"/>
                <w:rFonts w:ascii="Times New Roman" w:hAnsi="Times New Roman"/>
              </w:rPr>
              <w:t xml:space="preserve">Kreditinstitut</w:t>
            </w:r>
          </w:p>
          <w:p w14:paraId="665499B6" w14:textId="77777777" w:rsidR="00173F08" w:rsidRPr="002A677E" w:rsidRDefault="00173F08" w:rsidP="00822842">
            <w:pPr>
              <w:tabs>
                <w:tab w:val="left" w:pos="372"/>
              </w:tabs>
              <w:rPr>
                <w:rStyle w:val="InstructionsTabelleText"/>
                <w:sz w:val="24"/>
                <w:rFonts w:ascii="Times New Roman" w:hAnsi="Times New Roman"/>
              </w:rPr>
            </w:pPr>
            <w:r>
              <w:rPr>
                <w:sz w:val="24"/>
                <w:rStyle w:val="InstructionsTabelleText"/>
                <w:rFonts w:ascii="Times New Roman" w:hAnsi="Times New Roman"/>
              </w:rPr>
              <w:tab/>
            </w:r>
            <w:r>
              <w:rPr>
                <w:sz w:val="24"/>
                <w:rFonts w:ascii="Times New Roman" w:hAnsi="Times New Roman"/>
              </w:rPr>
              <w:t xml:space="preserve">Artikel 4.1.1 i förordning (EU) nr 575/2013</w:t>
            </w:r>
          </w:p>
          <w:p w14:paraId="5699C13E"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(b)</w:t>
            </w:r>
            <w:r>
              <w:rPr>
                <w:rStyle w:val="InstructionsTabelleText"/>
                <w:sz w:val="24"/>
                <w:rFonts w:ascii="Times New Roman" w:hAnsi="Times New Roman"/>
              </w:rPr>
              <w:tab/>
            </w:r>
            <w:r>
              <w:rPr>
                <w:rStyle w:val="InstructionsTabelleText"/>
                <w:sz w:val="24"/>
                <w:rFonts w:ascii="Times New Roman" w:hAnsi="Times New Roman"/>
              </w:rPr>
              <w:t xml:space="preserve">Värdepappersföretag</w:t>
            </w:r>
          </w:p>
          <w:p w14:paraId="63975777" w14:textId="77777777" w:rsidR="00173F08" w:rsidRPr="002A677E" w:rsidRDefault="00173F08" w:rsidP="00822842">
            <w:pPr>
              <w:tabs>
                <w:tab w:val="left" w:pos="372"/>
              </w:tabs>
              <w:rPr>
                <w:rStyle w:val="InstructionsTabelleText"/>
                <w:bCs/>
                <w:sz w:val="24"/>
                <w:rFonts w:ascii="Times New Roman" w:hAnsi="Times New Roman"/>
              </w:rPr>
            </w:pPr>
            <w:r>
              <w:rPr>
                <w:sz w:val="24"/>
                <w:rStyle w:val="InstructionsTabelleText"/>
                <w:rFonts w:ascii="Times New Roman" w:hAnsi="Times New Roman"/>
              </w:rPr>
              <w:tab/>
            </w:r>
            <w:r>
              <w:rPr>
                <w:sz w:val="24"/>
                <w:rFonts w:ascii="Times New Roman" w:hAnsi="Times New Roman"/>
              </w:rPr>
              <w:t xml:space="preserve">Artikel 4.1.2 i förordning (EU) nr 575/2013</w:t>
            </w:r>
          </w:p>
          <w:p w14:paraId="4003584E"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(c)</w:t>
            </w:r>
            <w:r>
              <w:rPr>
                <w:rStyle w:val="InstructionsTabelleText"/>
                <w:sz w:val="24"/>
                <w:rFonts w:ascii="Times New Roman" w:hAnsi="Times New Roman"/>
              </w:rPr>
              <w:tab/>
            </w:r>
            <w:r>
              <w:rPr>
                <w:rStyle w:val="InstructionsTabelleText"/>
                <w:sz w:val="24"/>
                <w:rFonts w:ascii="Times New Roman" w:hAnsi="Times New Roman"/>
              </w:rPr>
              <w:t xml:space="preserve">Finansiellt institut (annat)</w:t>
            </w:r>
          </w:p>
          <w:p w14:paraId="5B5F8DA3" w14:textId="77777777" w:rsidR="00173F08" w:rsidRPr="002A677E" w:rsidRDefault="00173F08" w:rsidP="00822842">
            <w:pPr>
              <w:tabs>
                <w:tab w:val="left" w:pos="372"/>
              </w:tabs>
              <w:rPr>
                <w:rStyle w:val="InstructionsTabelleText"/>
                <w:bCs/>
                <w:sz w:val="24"/>
                <w:rFonts w:ascii="Times New Roman" w:hAnsi="Times New Roman"/>
              </w:rPr>
            </w:pPr>
            <w:r>
              <w:rPr>
                <w:sz w:val="24"/>
                <w:rStyle w:val="InstructionsTabelleText"/>
                <w:rFonts w:ascii="Times New Roman" w:hAnsi="Times New Roman"/>
              </w:rPr>
              <w:tab/>
            </w:r>
            <w:r>
              <w:rPr>
                <w:sz w:val="24"/>
                <w:rFonts w:ascii="Times New Roman" w:hAnsi="Times New Roman"/>
              </w:rPr>
              <w:t xml:space="preserve">Artikel 4.1.20, 4.1.21 och 4.1.26 i förordning (EU) nr 575/2013</w:t>
            </w:r>
          </w:p>
          <w:p w14:paraId="7BC9963B" w14:textId="76B95B64" w:rsidR="00173F08" w:rsidRPr="002A677E" w:rsidRDefault="00173F08" w:rsidP="00822842">
            <w:pPr>
              <w:tabs>
                <w:tab w:val="left" w:pos="372"/>
              </w:tabs>
              <w:ind w:left="399" w:hanging="399"/>
              <w:rPr>
                <w:rStyle w:val="InstructionsTabelleText"/>
                <w:bCs/>
                <w:sz w:val="24"/>
                <w:rFonts w:ascii="Times New Roman" w:hAnsi="Times New Roman"/>
              </w:rPr>
            </w:pPr>
            <w:r>
              <w:rPr>
                <w:sz w:val="24"/>
                <w:rStyle w:val="InstructionsTabelleText"/>
                <w:rFonts w:ascii="Times New Roman" w:hAnsi="Times New Roman"/>
              </w:rPr>
              <w:tab/>
            </w:r>
            <w:r>
              <w:rPr>
                <w:sz w:val="24"/>
                <w:rFonts w:ascii="Times New Roman" w:hAnsi="Times New Roman"/>
              </w:rPr>
              <w:t xml:space="preserve">Finansiella institut i den mening som avses i artikel 4.1.26 i förordning (EU) nr 575/2013 som inte ingår i någon av kategorierna d, e eller g.</w:t>
            </w:r>
          </w:p>
          <w:p w14:paraId="7F954479"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(d)</w:t>
            </w:r>
            <w:r>
              <w:rPr>
                <w:rStyle w:val="InstructionsTabelleText"/>
                <w:sz w:val="24"/>
                <w:rFonts w:ascii="Times New Roman" w:hAnsi="Times New Roman"/>
              </w:rPr>
              <w:tab/>
            </w:r>
            <w:r>
              <w:rPr>
                <w:rStyle w:val="InstructionsTabelleText"/>
                <w:sz w:val="24"/>
                <w:rFonts w:ascii="Times New Roman" w:hAnsi="Times New Roman"/>
              </w:rPr>
              <w:t xml:space="preserve">(Blandat) finansiellt holdingföretag</w:t>
            </w:r>
          </w:p>
          <w:p w14:paraId="1C70DDA8" w14:textId="77777777" w:rsidR="00173F08" w:rsidRPr="002A677E" w:rsidRDefault="00173F08" w:rsidP="00822842">
            <w:pPr>
              <w:tabs>
                <w:tab w:val="left" w:pos="372"/>
              </w:tabs>
              <w:rPr>
                <w:rStyle w:val="InstructionsTabelleText"/>
                <w:bCs/>
                <w:sz w:val="24"/>
                <w:rFonts w:ascii="Times New Roman" w:hAnsi="Times New Roman"/>
              </w:rPr>
            </w:pPr>
            <w:r>
              <w:rPr>
                <w:sz w:val="24"/>
                <w:rStyle w:val="InstructionsTabelleText"/>
                <w:rFonts w:ascii="Times New Roman" w:hAnsi="Times New Roman"/>
              </w:rPr>
              <w:tab/>
            </w:r>
            <w:r>
              <w:rPr>
                <w:sz w:val="24"/>
                <w:rFonts w:ascii="Times New Roman" w:hAnsi="Times New Roman"/>
              </w:rPr>
              <w:t xml:space="preserve">Artikel 4.1.20 och 4.1.21 i förordning (EU) nr 575/2013</w:t>
            </w:r>
          </w:p>
          <w:p w14:paraId="30F427B6"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(e)</w:t>
            </w:r>
            <w:r>
              <w:rPr>
                <w:rStyle w:val="InstructionsTabelleText"/>
                <w:sz w:val="24"/>
                <w:rFonts w:ascii="Times New Roman" w:hAnsi="Times New Roman"/>
              </w:rPr>
              <w:tab/>
            </w:r>
            <w:r>
              <w:rPr>
                <w:rStyle w:val="InstructionsTabelleText"/>
                <w:sz w:val="24"/>
                <w:rFonts w:ascii="Times New Roman" w:hAnsi="Times New Roman"/>
              </w:rPr>
              <w:t xml:space="preserve">Anknutet företag</w:t>
            </w:r>
          </w:p>
          <w:p w14:paraId="21A43501" w14:textId="77777777" w:rsidR="00173F08" w:rsidRPr="002A677E" w:rsidRDefault="00173F08" w:rsidP="00822842">
            <w:pPr>
              <w:tabs>
                <w:tab w:val="left" w:pos="372"/>
              </w:tabs>
              <w:rPr>
                <w:rStyle w:val="InstructionsTabelleText"/>
                <w:bCs/>
                <w:sz w:val="24"/>
                <w:rFonts w:ascii="Times New Roman" w:hAnsi="Times New Roman"/>
              </w:rPr>
            </w:pPr>
            <w:r>
              <w:rPr>
                <w:sz w:val="24"/>
                <w:rStyle w:val="InstructionsTabelleText"/>
                <w:rFonts w:ascii="Times New Roman" w:hAnsi="Times New Roman"/>
              </w:rPr>
              <w:tab/>
            </w:r>
            <w:r>
              <w:rPr>
                <w:sz w:val="24"/>
                <w:rFonts w:ascii="Times New Roman" w:hAnsi="Times New Roman"/>
              </w:rPr>
              <w:t xml:space="preserve">Artikel 4.1.18 i förordning (EU) nr 575/2013</w:t>
            </w:r>
          </w:p>
          <w:p w14:paraId="33923092"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(f)</w:t>
            </w:r>
            <w:r>
              <w:rPr>
                <w:rStyle w:val="InstructionsTabelleText"/>
                <w:sz w:val="24"/>
                <w:rFonts w:ascii="Times New Roman" w:hAnsi="Times New Roman"/>
              </w:rPr>
              <w:tab/>
            </w:r>
            <w:r>
              <w:rPr>
                <w:rStyle w:val="InstructionsTabelleText"/>
                <w:sz w:val="24"/>
                <w:rFonts w:ascii="Times New Roman" w:hAnsi="Times New Roman"/>
              </w:rPr>
              <w:t xml:space="preserve">Specialföretag för värdepapperisering</w:t>
            </w:r>
          </w:p>
          <w:p w14:paraId="0A5E1647" w14:textId="77777777" w:rsidR="00173F08" w:rsidRPr="002A677E" w:rsidRDefault="00173F08" w:rsidP="00822842">
            <w:pPr>
              <w:tabs>
                <w:tab w:val="left" w:pos="372"/>
              </w:tabs>
              <w:rPr>
                <w:rStyle w:val="InstructionsTabelleText"/>
                <w:bCs/>
                <w:sz w:val="24"/>
                <w:rFonts w:ascii="Times New Roman" w:hAnsi="Times New Roman"/>
              </w:rPr>
            </w:pPr>
            <w:r>
              <w:rPr>
                <w:sz w:val="24"/>
                <w:rStyle w:val="InstructionsTabelleText"/>
                <w:rFonts w:ascii="Times New Roman" w:hAnsi="Times New Roman"/>
              </w:rPr>
              <w:tab/>
            </w:r>
            <w:r>
              <w:rPr>
                <w:sz w:val="24"/>
                <w:rFonts w:ascii="Times New Roman" w:hAnsi="Times New Roman"/>
              </w:rPr>
              <w:t xml:space="preserve">Artikel 4.1.66 i förordning (EU) nr 575/2013</w:t>
            </w:r>
          </w:p>
          <w:p w14:paraId="56894EF9"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(g)</w:t>
            </w:r>
            <w:r>
              <w:rPr>
                <w:rStyle w:val="InstructionsTabelleText"/>
                <w:sz w:val="24"/>
                <w:rFonts w:ascii="Times New Roman" w:hAnsi="Times New Roman"/>
              </w:rPr>
              <w:tab/>
            </w:r>
            <w:r>
              <w:rPr>
                <w:rStyle w:val="InstructionsTabelleText"/>
                <w:sz w:val="24"/>
                <w:rFonts w:ascii="Times New Roman" w:hAnsi="Times New Roman"/>
              </w:rPr>
              <w:t xml:space="preserve">Företag för säkerställda obligationer</w:t>
            </w:r>
          </w:p>
          <w:p w14:paraId="6CA79499" w14:textId="77777777" w:rsidR="00173F08" w:rsidRPr="002A677E" w:rsidRDefault="00173F08" w:rsidP="00822842">
            <w:pPr>
              <w:tabs>
                <w:tab w:val="left" w:pos="372"/>
              </w:tabs>
              <w:ind w:left="372"/>
              <w:rPr>
                <w:rStyle w:val="InstructionsTabelleText"/>
                <w:bCs/>
                <w:sz w:val="24"/>
                <w:rFonts w:ascii="Times New Roman" w:hAnsi="Times New Roman"/>
              </w:rPr>
            </w:pPr>
            <w:r>
              <w:rPr>
                <w:rStyle w:val="InstructionsTabelleText"/>
                <w:sz w:val="24"/>
                <w:rFonts w:ascii="Times New Roman" w:hAnsi="Times New Roman"/>
              </w:rPr>
              <w:t xml:space="preserve">Enhet som har inrättats för att utfärda säkerställda obligationer eller för att hålla säkerhet för en säkerställd obligation, om företaget inte ingår i någon av kategorierna a, b eller d–f ovan.</w:t>
            </w:r>
          </w:p>
          <w:p w14:paraId="73FCB23B" w14:textId="77777777" w:rsidR="00173F08" w:rsidRPr="002A677E" w:rsidRDefault="00173F08" w:rsidP="00822842">
            <w:pPr>
              <w:tabs>
                <w:tab w:val="left" w:pos="372"/>
              </w:tabs>
              <w:rPr>
                <w:rStyle w:val="InstructionsTabelleText"/>
                <w:sz w:val="24"/>
                <w:rFonts w:ascii="Times New Roman" w:hAnsi="Times New Roman"/>
              </w:rPr>
            </w:pPr>
            <w:r>
              <w:rPr>
                <w:rStyle w:val="InstructionsTabelleText"/>
                <w:sz w:val="24"/>
                <w:rFonts w:ascii="Times New Roman" w:hAnsi="Times New Roman"/>
              </w:rPr>
              <w:t xml:space="preserve">(h)</w:t>
            </w:r>
            <w:r>
              <w:rPr>
                <w:rStyle w:val="InstructionsTabelleText"/>
                <w:sz w:val="24"/>
                <w:rFonts w:ascii="Times New Roman" w:hAnsi="Times New Roman"/>
              </w:rPr>
              <w:tab/>
            </w:r>
            <w:r>
              <w:rPr>
                <w:rStyle w:val="InstructionsTabelleText"/>
                <w:sz w:val="24"/>
                <w:rFonts w:ascii="Times New Roman" w:hAnsi="Times New Roman"/>
              </w:rPr>
              <w:t xml:space="preserve">Annan typ av enhet</w:t>
            </w:r>
          </w:p>
          <w:p w14:paraId="404E7CFE" w14:textId="77777777" w:rsidR="00173F08" w:rsidRPr="002A677E" w:rsidRDefault="00173F08" w:rsidP="00822842">
            <w:pPr>
              <w:tabs>
                <w:tab w:val="left" w:pos="372"/>
              </w:tabs>
              <w:ind w:left="372"/>
              <w:rPr>
                <w:rStyle w:val="InstructionsTabelleberschrift"/>
                <w:b w:val="0"/>
                <w:sz w:val="24"/>
                <w:rFonts w:ascii="Times New Roman" w:hAnsi="Times New Roman"/>
              </w:rPr>
            </w:pPr>
            <w:r>
              <w:rPr>
                <w:rStyle w:val="InstructionsTabelleberschrift"/>
                <w:sz w:val="24"/>
                <w:rFonts w:ascii="Times New Roman" w:hAnsi="Times New Roman"/>
              </w:rPr>
              <w:t xml:space="preserve">Annan enhet än de som avses i punkt a–g.</w:t>
            </w:r>
          </w:p>
          <w:p w14:paraId="1E1DE3FB" w14:textId="77777777" w:rsidR="00173F08" w:rsidRPr="002A677E" w:rsidRDefault="00173F08" w:rsidP="00822842">
            <w:pPr>
              <w:tabs>
                <w:tab w:val="left" w:pos="372"/>
              </w:tabs>
              <w:rPr>
                <w:rStyle w:val="InstructionsTabelleberschrift"/>
                <w:b w:val="0"/>
                <w:sz w:val="24"/>
                <w:rFonts w:ascii="Times New Roman" w:hAnsi="Times New Roman"/>
              </w:rPr>
            </w:pPr>
            <w:r>
              <w:rPr>
                <w:sz w:val="24"/>
                <w:rFonts w:ascii="Times New Roman" w:hAnsi="Times New Roman"/>
              </w:rPr>
              <w:t xml:space="preserve">Om en enhet inte omfattas av förordning (EU) nr 575/2013 och direktiv 2013/36/EU, men omfattas av bestämmelser som är åtminstone likvärdiga med Basel-bestämmelserna ska kategorin bestämmas efter bästa förmåga.</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8640" w:type="dxa"/>
          </w:tcPr>
          <w:p w14:paraId="6CCCE12B" w14:textId="77777777" w:rsidR="00173F08" w:rsidRPr="002A677E" w:rsidRDefault="00173F08" w:rsidP="00822842">
            <w:pPr>
              <w:rPr>
                <w:b/>
                <w:sz w:val="24"/>
                <w:u w:val="single"/>
                <w:rFonts w:ascii="Times New Roman" w:hAnsi="Times New Roman"/>
              </w:rPr>
            </w:pPr>
            <w:r>
              <w:rPr>
                <w:b/>
                <w:sz w:val="24"/>
                <w:u w:val="single"/>
                <w:rFonts w:ascii="Times New Roman" w:hAnsi="Times New Roman"/>
              </w:rPr>
              <w:t xml:space="preserve">UPPGIFTERNAS OMFATTNING:</w:t>
            </w:r>
            <w:r>
              <w:rPr>
                <w:b/>
                <w:sz w:val="24"/>
                <w:u w:val="single"/>
                <w:rFonts w:ascii="Times New Roman" w:hAnsi="Times New Roman"/>
              </w:rPr>
              <w:t xml:space="preserve"> </w:t>
            </w:r>
            <w:r>
              <w:rPr>
                <w:b/>
                <w:sz w:val="24"/>
                <w:u w:val="single"/>
                <w:caps/>
                <w:rFonts w:ascii="Times New Roman" w:hAnsi="Times New Roman"/>
              </w:rPr>
              <w:t xml:space="preserve">Individuell nivå fullständigt konsoliderade (SF), ELLER individuell nivå delvis konsoliderade (SP)</w:t>
            </w:r>
          </w:p>
          <w:p w14:paraId="0AE72FF3" w14:textId="77777777" w:rsidR="00173F08" w:rsidRPr="002A677E" w:rsidRDefault="00173F08" w:rsidP="00822842">
            <w:pPr>
              <w:rPr>
                <w:rStyle w:val="Heading1Char"/>
                <w:sz w:val="24"/>
                <w:rFonts w:ascii="Times New Roman" w:hAnsi="Times New Roman"/>
              </w:rPr>
            </w:pPr>
            <w:r>
              <w:rPr>
                <w:sz w:val="24"/>
                <w:rStyle w:val="InstructionsTabelleText"/>
                <w:rFonts w:ascii="Times New Roman" w:hAnsi="Times New Roman"/>
              </w:rPr>
              <w:t xml:space="preserve">”SF”</w:t>
            </w:r>
            <w:r>
              <w:rPr>
                <w:sz w:val="24"/>
                <w:rFonts w:ascii="Times New Roman" w:hAnsi="Times New Roman"/>
              </w:rPr>
              <w:t xml:space="preserve"> ska rapporteras för enskilda dotterföretag som är fullständigt konsoliderade.</w:t>
            </w:r>
            <w:r>
              <w:rPr>
                <w:sz w:val="24"/>
                <w:rStyle w:val="Heading1Char"/>
                <w:rFonts w:ascii="Times New Roman" w:hAnsi="Times New Roman"/>
              </w:rPr>
              <w:t xml:space="preserve"> </w:t>
            </w:r>
          </w:p>
          <w:p w14:paraId="62274488" w14:textId="77777777" w:rsidR="00173F08" w:rsidRPr="002A677E" w:rsidRDefault="00173F08" w:rsidP="00822842">
            <w:pPr>
              <w:rPr>
                <w:rStyle w:val="InstructionsTabelleText"/>
                <w:smallCaps/>
                <w:sz w:val="24"/>
                <w:rFonts w:ascii="Times New Roman" w:hAnsi="Times New Roman"/>
              </w:rPr>
            </w:pPr>
            <w:r>
              <w:rPr>
                <w:sz w:val="24"/>
                <w:rStyle w:val="InstructionsTabelleText"/>
                <w:rFonts w:ascii="Times New Roman" w:hAnsi="Times New Roman"/>
              </w:rPr>
              <w:t xml:space="preserve">”SP”</w:t>
            </w:r>
            <w:r>
              <w:rPr>
                <w:sz w:val="24"/>
                <w:rFonts w:ascii="Times New Roman" w:hAnsi="Times New Roman"/>
              </w:rPr>
              <w:t xml:space="preserve"> ska rapporteras för enskilda dotterföretag som är delvis konsoliderade.</w:t>
            </w:r>
            <w:r>
              <w:rPr>
                <w:sz w:val="24"/>
                <w:rStyle w:val="InstructionsTabelleText"/>
                <w:i/>
                <w:rFonts w:ascii="Times New Roman" w:hAnsi="Times New Roman"/>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640" w:type="dxa"/>
          </w:tcPr>
          <w:p w14:paraId="00CDACE7" w14:textId="77777777" w:rsidR="00173F08" w:rsidRPr="002A677E" w:rsidRDefault="00173F08" w:rsidP="00822842">
            <w:pPr>
              <w:rPr>
                <w:b/>
                <w:sz w:val="24"/>
                <w:u w:val="single"/>
                <w:rFonts w:ascii="Times New Roman" w:hAnsi="Times New Roman"/>
              </w:rPr>
            </w:pPr>
            <w:r>
              <w:rPr>
                <w:b/>
                <w:sz w:val="24"/>
                <w:u w:val="single"/>
                <w:rFonts w:ascii="Times New Roman" w:hAnsi="Times New Roman"/>
              </w:rPr>
              <w:t xml:space="preserve">LANDKOD</w:t>
            </w:r>
            <w:r>
              <w:rPr>
                <w:b/>
                <w:sz w:val="24"/>
                <w:u w:val="single"/>
                <w:rFonts w:ascii="Times New Roman" w:hAnsi="Times New Roman"/>
              </w:rPr>
              <w:t xml:space="preserve"> </w:t>
            </w:r>
          </w:p>
          <w:p w14:paraId="6D6EDCAD" w14:textId="3FF412B9"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Instituten ska ange landskod med två bokstäver enligt ISO 3166-1 alpha-2.</w:t>
            </w:r>
            <w:r>
              <w:rPr>
                <w:rStyle w:val="InstructionsTabelleText"/>
                <w:sz w:val="24"/>
                <w:rFonts w:ascii="Times New Roman" w:hAnsi="Times New Roman"/>
              </w:rPr>
              <w:t xml:space="preserve">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640" w:type="dxa"/>
          </w:tcPr>
          <w:p w14:paraId="3297BC0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ANDEL AV INNEHAV (%)</w:t>
            </w:r>
          </w:p>
          <w:p w14:paraId="0214F399"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Det rapporterande institutets totala delägande i procent. Procentandelen avser den faktiska andelen av det kapital som moderföretaget innehar i dotterföretagen.</w:t>
            </w:r>
            <w:r>
              <w:rPr>
                <w:sz w:val="24"/>
                <w:rStyle w:val="InstructionsTabelleText"/>
                <w:rFonts w:ascii="Times New Roman" w:hAnsi="Times New Roman"/>
              </w:rPr>
              <w:t xml:space="preserve"> </w:t>
            </w:r>
            <w:r>
              <w:rPr>
                <w:sz w:val="24"/>
                <w:rStyle w:val="InstructionsTabelleText"/>
                <w:rFonts w:ascii="Times New Roman" w:hAnsi="Times New Roman"/>
              </w:rPr>
              <w:t xml:space="preserve">Vid fullständig konsolidering av ett direkt dotterföretag är den faktiska andelen t.ex. 70 %.</w:t>
            </w:r>
            <w:r>
              <w:rPr>
                <w:sz w:val="24"/>
                <w:rStyle w:val="InstructionsTabelleText"/>
                <w:rFonts w:ascii="Times New Roman" w:hAnsi="Times New Roman"/>
              </w:rPr>
              <w:t xml:space="preserve"> </w:t>
            </w:r>
            <w:r>
              <w:rPr>
                <w:sz w:val="24"/>
                <w:rFonts w:ascii="Times New Roman" w:hAnsi="Times New Roman"/>
              </w:rPr>
              <w:t xml:space="preserve">I enlighet med artikel 4.1.16 i förordning (EU) nr 575/2013 beräknas den andel av ett dotterföretags innehav i ett dotterföretag som ska rapporteras genom en multiplikation av andelarna mellan de berörda dotterföretagen.</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0065</w:t>
            </w:r>
          </w:p>
        </w:tc>
        <w:tc>
          <w:tcPr>
            <w:tcW w:w="8640" w:type="dxa"/>
          </w:tcPr>
          <w:p w14:paraId="42EB5499" w14:textId="77777777" w:rsidR="00173F08" w:rsidRPr="002A677E" w:rsidRDefault="00173F08" w:rsidP="00822842">
            <w:pPr>
              <w:rPr>
                <w:b/>
                <w:sz w:val="24"/>
                <w:u w:val="single"/>
                <w:rFonts w:ascii="Times New Roman" w:hAnsi="Times New Roman"/>
              </w:rPr>
            </w:pPr>
            <w:r>
              <w:rPr>
                <w:b/>
                <w:sz w:val="24"/>
                <w:u w:val="single"/>
                <w:rFonts w:ascii="Times New Roman" w:hAnsi="Times New Roman"/>
              </w:rPr>
              <w:t xml:space="preserve">KVITTNINGSGRUPP</w:t>
            </w:r>
          </w:p>
          <w:p w14:paraId="591957C8" w14:textId="77777777" w:rsidR="00173F0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Med </w:t>
            </w:r>
            <w:r>
              <w:rPr>
                <w:rStyle w:val="InstructionsTabelleText"/>
                <w:sz w:val="24"/>
                <w:i/>
                <w:iCs/>
                <w:rFonts w:ascii="Times New Roman" w:hAnsi="Times New Roman"/>
              </w:rPr>
              <w:t xml:space="preserve">kvittningsgrupp</w:t>
            </w:r>
            <w:r>
              <w:rPr>
                <w:rStyle w:val="InstructionsTabelleText"/>
                <w:sz w:val="24"/>
                <w:rFonts w:ascii="Times New Roman" w:hAnsi="Times New Roman"/>
              </w:rPr>
              <w:t xml:space="preserve"> avses något av följande:</w:t>
            </w:r>
          </w:p>
          <w:p w14:paraId="3C498A91" w14:textId="77777777" w:rsidR="00173F08" w:rsidRPr="000F4F88" w:rsidRDefault="00173F08" w:rsidP="00173F08">
            <w:pPr>
              <w:pStyle w:val="ListParagraph"/>
              <w:numPr>
                <w:ilvl w:val="0"/>
                <w:numId w:val="3"/>
              </w:numPr>
              <w:rPr>
                <w:rStyle w:val="InstructionsTabelleText"/>
                <w:sz w:val="24"/>
                <w:rFonts w:ascii="Times New Roman" w:hAnsi="Times New Roman"/>
              </w:rPr>
            </w:pPr>
            <w:r>
              <w:rPr>
                <w:rStyle w:val="InstructionsTabelleText"/>
                <w:sz w:val="24"/>
                <w:rFonts w:ascii="Times New Roman" w:hAnsi="Times New Roman"/>
              </w:rPr>
              <w:t xml:space="preserve">En grupp av enheter för vilken den behöriga myndigheten har beviljat tillstånd att använda positioner i ett institut eller företag i den gruppen för att kvitta positioner i ett annat institut eller företag i den gruppen i enlighet med artikel 325b i förordning (EU) nr 575/2013.</w:t>
            </w:r>
          </w:p>
          <w:p w14:paraId="6C55C0A1" w14:textId="77777777" w:rsidR="00173F08" w:rsidRPr="000059B8" w:rsidRDefault="00173F08" w:rsidP="00173F08">
            <w:pPr>
              <w:pStyle w:val="ListParagraph"/>
              <w:numPr>
                <w:ilvl w:val="0"/>
                <w:numId w:val="3"/>
              </w:numPr>
              <w:rPr>
                <w:rStyle w:val="InstructionsTabelleText"/>
                <w:b/>
                <w:bCs/>
                <w:sz w:val="24"/>
                <w:u w:val="single"/>
                <w:rFonts w:ascii="Times New Roman" w:hAnsi="Times New Roman"/>
              </w:rPr>
            </w:pPr>
            <w:r>
              <w:rPr>
                <w:rStyle w:val="InstructionsTabelleText"/>
                <w:sz w:val="24"/>
                <w:rFonts w:ascii="Times New Roman" w:hAnsi="Times New Roman"/>
              </w:rPr>
              <w:t xml:space="preserve">Varje enskild enhet vars positioner inte kan kvittas mot positioner i någon annan enhet i samma grupp vilken är föremål för gruppbaserad tillsyn i enlighet med direktiv 2013/36/EU, eftersom den behöriga myndigheten inte har beviljat tillstånd i enlighet med artikel 325b i den förordningen.</w:t>
            </w:r>
          </w:p>
          <w:p w14:paraId="30CBC62B" w14:textId="77777777" w:rsidR="00173F08" w:rsidRPr="000059B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Instituten ska ange den kvittningsgrupp som varje enhet som förtecknas i mallen tillhör, om de uppfyller följande två villkor:</w:t>
            </w:r>
          </w:p>
          <w:p w14:paraId="147E25D5" w14:textId="77777777" w:rsidR="00173F08" w:rsidRPr="000059B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(a) De beräknar kapitalbaskraven för sin verksamhet som omfattas av marknadsrisk i enlighet med del tre avdelning IV kapitel 1a eller kapitel 1b, eller båda, i förordning (EU) nr 575/2013, eller omfattas av skyldigheten att rapportera information om dessa kapitalbaskrav i enlighet med artikel 430.2a eller 430.2b i den förordningen.</w:t>
            </w:r>
          </w:p>
          <w:p w14:paraId="467E176C" w14:textId="77777777" w:rsidR="00173F0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(b) Den grupp som är föremål för gruppbaserad tillsyn i enlighet med direktiv 2013/36/EU omfattar minst två kvittningsgrupper.</w:t>
            </w:r>
          </w:p>
          <w:p w14:paraId="6E55692B" w14:textId="77777777" w:rsidR="00173F0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 värden som rapporteras i denna kolumn ska vara ”Kvittningsgrupp 1”, Kvittningsgrupp 2” etc.</w:t>
            </w:r>
            <w:r>
              <w:rPr>
                <w:rStyle w:val="InstructionsTabelleText"/>
                <w:sz w:val="24"/>
                <w:rFonts w:ascii="Times New Roman" w:hAnsi="Times New Roman"/>
              </w:rPr>
              <w:t xml:space="preserve"> </w:t>
            </w:r>
            <w:r>
              <w:rPr>
                <w:rStyle w:val="InstructionsTabelleText"/>
                <w:sz w:val="24"/>
                <w:rFonts w:ascii="Times New Roman" w:hAnsi="Times New Roman"/>
              </w:rPr>
              <w:t xml:space="preserve">Indelningen av juridiska enheter och kvittningsgrupper ska vara densamma över tid och i alla rapporter från samma grupp som är föremål för gruppbaserad tillsyn, samt samstämmig med de identifierade kvittningsgrupperna i mallarna i </w:t>
            </w:r>
            <w:r>
              <w:rPr>
                <w:rStyle w:val="InstructionsTabelleText"/>
                <w:sz w:val="24"/>
                <w:highlight w:val="yellow"/>
                <w:rFonts w:ascii="Times New Roman" w:hAnsi="Times New Roman"/>
              </w:rPr>
              <w:t xml:space="preserve">[bilaga I till förordning (EU) 2021/453]</w:t>
            </w:r>
            <w:r>
              <w:rPr>
                <w:rStyle w:val="InstructionsTabelleText"/>
                <w:sz w:val="24"/>
                <w:rFonts w:ascii="Times New Roman" w:hAnsi="Times New Roman"/>
              </w:rPr>
              <w:t xml:space="preserve">.</w:t>
            </w:r>
          </w:p>
          <w:p w14:paraId="5DB075C7"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Om institutet uppfyller villkor a ovan, men den grupp som är föremål för gruppbaserad tillsyn i enlighet med direktiv 2013/36/EU endast omfattar en enda kvittningsgrupp, ska instituten ange ”en enda kvittningsgrupp” på den rad som motsvarar moderföretaget för den grupp som rapporteras i denna mall.</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0070–0240</w:t>
            </w:r>
          </w:p>
        </w:tc>
        <w:tc>
          <w:tcPr>
            <w:tcW w:w="8640" w:type="dxa"/>
          </w:tcPr>
          <w:p w14:paraId="0274B01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INFORMATION OM ENHETER SOM OMFATTAS AV KAPITALBASKRAV</w:t>
            </w:r>
          </w:p>
          <w:p w14:paraId="5193F4B6"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I avsnittet med detaljerade uppgifter (dvs. kolumnerna 0070–0240) ska uppgifter redovisas enbart om de enheter och undergrupper som ingår i konsolideringen (</w:t>
            </w:r>
            <w:r>
              <w:rPr>
                <w:sz w:val="24"/>
                <w:rFonts w:ascii="Times New Roman" w:hAnsi="Times New Roman"/>
              </w:rPr>
              <w:t xml:space="preserve">del ett avdelning II kapitel 2 i förordning (EU) nr 575/2013) o</w:t>
            </w:r>
            <w:r>
              <w:rPr>
                <w:sz w:val="24"/>
                <w:rStyle w:val="InstructionsTabelleText"/>
                <w:rFonts w:ascii="Times New Roman" w:hAnsi="Times New Roman"/>
              </w:rPr>
              <w:t xml:space="preserve">ch därmed i praktiken omfattas av solvenskraven som fastställs i förordning (EU) nr 575/2013 eller bestämmelser som åtminstone är likvärdiga med Basel-bestämmelserna (dvs. som har rapporterat ”JA” i kolumn 0030).</w:t>
            </w:r>
            <w:r>
              <w:rPr>
                <w:sz w:val="24"/>
                <w:rStyle w:val="InstructionsTabelleText"/>
                <w:rFonts w:ascii="Times New Roman" w:hAnsi="Times New Roman"/>
              </w:rPr>
              <w:t xml:space="preserve"> </w:t>
            </w:r>
          </w:p>
          <w:p w14:paraId="341FD737" w14:textId="77777777" w:rsidR="00173F08" w:rsidRPr="002A677E" w:rsidRDefault="00173F08" w:rsidP="00822842">
            <w:pPr>
              <w:rPr>
                <w:sz w:val="24"/>
                <w:rFonts w:ascii="Times New Roman" w:hAnsi="Times New Roman"/>
              </w:rPr>
            </w:pPr>
            <w:r>
              <w:rPr>
                <w:sz w:val="24"/>
                <w:rFonts w:ascii="Times New Roman" w:hAnsi="Times New Roman"/>
              </w:rPr>
              <w:t xml:space="preserve">Det ska ingå uppgifter om alla de enskilda institut i en konsoliderad grupp som omfattas av kapitalbaskraven, oavsett var de är etablerade.</w:t>
            </w:r>
            <w:r>
              <w:rPr>
                <w:sz w:val="24"/>
                <w:rFonts w:ascii="Times New Roman" w:hAnsi="Times New Roman"/>
              </w:rPr>
              <w:t xml:space="preserve"> </w:t>
            </w:r>
          </w:p>
          <w:p w14:paraId="44903571" w14:textId="77777777" w:rsidR="00173F08" w:rsidRPr="002A677E" w:rsidRDefault="00173F08" w:rsidP="00822842">
            <w:pPr>
              <w:rPr>
                <w:sz w:val="24"/>
                <w:rFonts w:ascii="Times New Roman" w:hAnsi="Times New Roman"/>
              </w:rPr>
            </w:pPr>
            <w:r>
              <w:rPr>
                <w:sz w:val="24"/>
                <w:rFonts w:ascii="Times New Roman" w:hAnsi="Times New Roman"/>
              </w:rPr>
              <w:t xml:space="preserve">De uppgifter som rapporteras i denna del ska reflektera de lokala solvensreglerna i den jurisdiktion där institutet har sin verksamhet (i denna mall behövs därför ingen extra beräkning på enskild nivå baserat på moderinstitutets regler).</w:t>
            </w:r>
            <w:r>
              <w:rPr>
                <w:sz w:val="24"/>
                <w:rFonts w:ascii="Times New Roman" w:hAnsi="Times New Roman"/>
              </w:rPr>
              <w:t xml:space="preserve"> </w:t>
            </w:r>
            <w:r>
              <w:rPr>
                <w:sz w:val="24"/>
                <w:rFonts w:ascii="Times New Roman" w:hAnsi="Times New Roman"/>
              </w:rPr>
              <w:t xml:space="preserve">Om de lokala solvensreglerna avviker från förordning (EU) nr 575/2013 och en jämförbar uppdelning inte tillhandahålls ska uppgifterna fyllas i där det finns uppgifter tillgängliga i respektive storlekskategori.</w:t>
            </w:r>
            <w:r>
              <w:rPr>
                <w:sz w:val="24"/>
                <w:rFonts w:ascii="Times New Roman" w:hAnsi="Times New Roman"/>
              </w:rPr>
              <w:t xml:space="preserve"> </w:t>
            </w:r>
            <w:r>
              <w:rPr>
                <w:sz w:val="24"/>
                <w:rFonts w:ascii="Times New Roman" w:hAnsi="Times New Roman"/>
              </w:rPr>
              <w:t xml:space="preserve">Denna del är alltså en faktamall med en summering av de uträkningar som ska utföras av de enskilda instituten i en grupp. Man bör ha i åtanke att vissa av instituten kan omfattas av andra solvensregler.</w:t>
            </w:r>
          </w:p>
          <w:p w14:paraId="6B5F0F6F" w14:textId="77777777" w:rsidR="00173F08" w:rsidRPr="002A677E" w:rsidRDefault="00173F08" w:rsidP="00822842">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Rapportering av fasta omkostnader för värdepappersföretag</w:t>
            </w:r>
          </w:p>
          <w:p w14:paraId="38DFF7EE" w14:textId="77777777" w:rsidR="00173F08" w:rsidRPr="002A677E" w:rsidRDefault="00173F08" w:rsidP="00822842">
            <w:pPr>
              <w:autoSpaceDE w:val="0"/>
              <w:autoSpaceDN w:val="0"/>
              <w:adjustRightInd w:val="0"/>
              <w:spacing w:after="0"/>
              <w:rPr>
                <w:rStyle w:val="InstructionsTabelleText"/>
                <w:sz w:val="24"/>
                <w:rFonts w:ascii="Times New Roman" w:hAnsi="Times New Roman"/>
              </w:rPr>
            </w:pPr>
            <w:r>
              <w:rPr>
                <w:sz w:val="24"/>
                <w:rFonts w:ascii="Times New Roman" w:hAnsi="Times New Roman"/>
              </w:rPr>
              <w:t xml:space="preserve">Värdepappersföretag ska ta med kapitalbaskrav avseende fasta omkostnader i sin beräkning av kapitalrelationen i enlighet med artiklarna 95, 96, 97 och 98 i förordning (EU) nr 575/2013.</w:t>
            </w:r>
          </w:p>
          <w:p w14:paraId="033740CD" w14:textId="77777777" w:rsidR="00173F08" w:rsidRPr="002A677E" w:rsidRDefault="00173F08" w:rsidP="00822842">
            <w:pPr>
              <w:autoSpaceDE w:val="0"/>
              <w:autoSpaceDN w:val="0"/>
              <w:adjustRightInd w:val="0"/>
              <w:spacing w:after="0"/>
              <w:rPr>
                <w:rStyle w:val="InstructionsTabelleText"/>
                <w:sz w:val="24"/>
                <w:rFonts w:ascii="Times New Roman" w:hAnsi="Times New Roman"/>
              </w:rPr>
            </w:pPr>
            <w:r>
              <w:rPr>
                <w:rStyle w:val="InstructionsTabelleText"/>
                <w:sz w:val="24"/>
                <w:rFonts w:ascii="Times New Roman" w:hAnsi="Times New Roman"/>
              </w:rPr>
              <w:t xml:space="preserve">Den del av det totala riskvägda exponeringsbeloppet som avser fasta omkostnader ska rapporteras i kolumn 0100 i denna mall.</w:t>
            </w:r>
            <w:r>
              <w:rPr>
                <w:rStyle w:val="InstructionsTabelleText"/>
                <w:sz w:val="24"/>
                <w:rFonts w:ascii="Times New Roman" w:hAnsi="Times New Roman"/>
              </w:rPr>
              <w:t xml:space="preserve">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640" w:type="dxa"/>
          </w:tcPr>
          <w:p w14:paraId="1A22FB2A"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TOTALT RISKVÄGT EXPONERINGSBELOPP</w:t>
            </w:r>
            <w:r>
              <w:rPr>
                <w:rStyle w:val="InstructionsTabelleberschrift"/>
                <w:sz w:val="24"/>
                <w:rFonts w:ascii="Times New Roman" w:hAnsi="Times New Roman"/>
              </w:rPr>
              <w:t xml:space="preserve"> </w:t>
            </w:r>
          </w:p>
          <w:p w14:paraId="4B0A4350"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Summan av kolumnerna 0080–0110 ska rapporteras här.</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0075</w:t>
            </w:r>
          </w:p>
        </w:tc>
        <w:tc>
          <w:tcPr>
            <w:tcW w:w="8640" w:type="dxa"/>
          </w:tcPr>
          <w:p w14:paraId="78E93AAA" w14:textId="77777777" w:rsidR="00173F08"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JUSTERING RELATERAD TILL GOLVET (TREA KAPITALGOLV)</w:t>
            </w:r>
          </w:p>
          <w:p w14:paraId="267C9374" w14:textId="77777777" w:rsidR="00173F08" w:rsidRPr="00601EA3" w:rsidRDefault="00173F08" w:rsidP="00822842">
            <w:pPr>
              <w:rPr>
                <w:rStyle w:val="InstructionsTabelleberschrift"/>
                <w:b w:val="0"/>
                <w:bCs w:val="0"/>
                <w:sz w:val="24"/>
                <w:rFonts w:ascii="Times New Roman" w:hAnsi="Times New Roman"/>
              </w:rPr>
            </w:pPr>
            <w:r>
              <w:rPr>
                <w:rStyle w:val="InstructionsTabelleberschrift"/>
                <w:b w:val="0"/>
                <w:sz w:val="24"/>
                <w:rFonts w:ascii="Times New Roman" w:hAnsi="Times New Roman"/>
              </w:rPr>
              <w:t xml:space="preserve">Enheter ska rapportera den justering relaterad till golvet som beräknats på individuell nivå.</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640" w:type="dxa"/>
          </w:tcPr>
          <w:p w14:paraId="7FCBE592"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KREDITRISK,</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MOTPARTSRISK,</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UTSPÄDNINGSRISK, TRANSAKTIONER UTAN SAMTIDIG MOTPRESTATION SAMT AVVECKLINGS-/LEVERANSRISK</w:t>
            </w:r>
          </w:p>
          <w:p w14:paraId="4C32FDA3"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Det belopp som ska rapporteras i denna kolumn ska motsvara summan av de riskvägda exponeringsbelopp som är lika med eller likvärdiga med de belopp som ska rapporteras på rad 0040</w:t>
            </w:r>
            <w:r>
              <w:rPr>
                <w:sz w:val="24"/>
                <w:rFonts w:ascii="Times New Roman" w:hAnsi="Times New Roman"/>
              </w:rPr>
              <w:t xml:space="preserve"> ”RISKVÄGDA EXPONERINGSBELOPP</w:t>
            </w:r>
            <w:r>
              <w:rPr>
                <w:sz w:val="24"/>
                <w:rStyle w:val="InstructionsTabelleText"/>
                <w:rFonts w:ascii="Times New Roman" w:hAnsi="Times New Roman"/>
              </w:rPr>
              <w:t xml:space="preserve"> FÖR KREDITRISK, MOTPARTSRISK OCH UTSPÄDNINGSRISK SAMT TRANSAKTIONER UTAN SAMTIDIG MOTPRESTATION” och de belopp för kapitalbaskrav som är lika med eller likvärdiga med de belopp som rapporteras på rad 0490 ”TOTALT RISKVÄGT EXPONERINGSBELOPP FÖR AVVECKLINGS-/LEVERANSRISK” i mall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640" w:type="dxa"/>
          </w:tcPr>
          <w:p w14:paraId="1F8CDF0D" w14:textId="117F25BE"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MARKNADSRISK</w:t>
            </w:r>
          </w:p>
          <w:p w14:paraId="7A55CAD7" w14:textId="55D7980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belopp som ska rapporteras i denna kolumn ska motsvara det värde på kapitalbaskraven som är lika med eller likvärdigt med de belopp som ska redovisas på rad 0520 ”TOTALT RISKVÄGT EXPONERINGSBELOPP FÖR VERKSAMHET SOM OMFATTAS AV MARKNADSRISK” i mall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8640" w:type="dxa"/>
          </w:tcPr>
          <w:p w14:paraId="47EDEC82"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OPERATIV RISK</w:t>
            </w:r>
          </w:p>
          <w:p w14:paraId="0D971CE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belopp som ska rapporteras i denna kolumn ska motsvara det riskvägda exponeringsbelopp som är lika med eller likvärdigt med det belopp som ska rapporteras på rad 0590 ”TOTALT RISKVÄGT EXPONERINGSBELOPP FÖR OPERATIV RISK (OpR)” i mall CA2.</w:t>
            </w:r>
          </w:p>
          <w:p w14:paraId="793CB66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 denna kolumn ska fasta omkostnader tas upp, inbegripet rad 0630 ”YTTERLIGARE RISKVÄGT EXPONERINGSBELOPP PÅ GRUND AV FASTA OMKOSTNADER” i mall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0110</w:t>
            </w:r>
          </w:p>
        </w:tc>
        <w:tc>
          <w:tcPr>
            <w:tcW w:w="8640" w:type="dxa"/>
          </w:tcPr>
          <w:p w14:paraId="5A6EE0BF"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ÖVRIGA RISKEXPONERINGSBELOPP</w:t>
            </w:r>
          </w:p>
          <w:p w14:paraId="6AB0F2D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belopp som ska rapporteras i denna kolumn ska motsvara det riskvägda exponeringsbelopp som inte tas upp specifikt ovan.</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 vara summan av beloppen på raderna 0640, 0680 och 0690 i mall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0120–0240</w:t>
            </w:r>
          </w:p>
        </w:tc>
        <w:tc>
          <w:tcPr>
            <w:tcW w:w="8640" w:type="dxa"/>
          </w:tcPr>
          <w:p w14:paraId="4017EF14"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DETALJERADE UPPGIFTER OM KAPITALBAS FÖR SOLVENS PÅ GRUPPNIVÅ</w:t>
            </w:r>
          </w:p>
          <w:p w14:paraId="713BB53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 uppgifter som rapporteras i följande kolumner ska reflektera de lokala solvensreglerna i den jurisdiktion där enheten eller undergruppen har sin verksamhet.</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0120</w:t>
            </w:r>
          </w:p>
        </w:tc>
        <w:tc>
          <w:tcPr>
            <w:tcW w:w="8640" w:type="dxa"/>
          </w:tcPr>
          <w:p w14:paraId="5B6BE8D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KAPITALBAS</w:t>
            </w:r>
          </w:p>
          <w:p w14:paraId="55D150C2"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belopp som ska rapporteras i denna kolumn motsvarar det värde på kapitalbasen som är lika med eller likvärdigt med de belopp som ska rapporteras på rad 0010 ”KAPITALBAS” i mall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0130</w:t>
            </w:r>
          </w:p>
        </w:tc>
        <w:tc>
          <w:tcPr>
            <w:tcW w:w="8640" w:type="dxa"/>
          </w:tcPr>
          <w:p w14:paraId="33EA093E"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KVALIFICERANDE KAPITALBAS</w:t>
            </w:r>
            <w:r>
              <w:rPr>
                <w:rStyle w:val="InstructionsTabelleberschrift"/>
                <w:sz w:val="24"/>
                <w:rFonts w:ascii="Times New Roman" w:hAnsi="Times New Roman"/>
              </w:rPr>
              <w:t xml:space="preserve"> </w:t>
            </w:r>
          </w:p>
          <w:p w14:paraId="34714CBE"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82 </w:t>
            </w:r>
            <w:r>
              <w:rPr>
                <w:sz w:val="24"/>
                <w:rFonts w:ascii="Times New Roman" w:hAnsi="Times New Roman"/>
              </w:rPr>
              <w:t xml:space="preserve">i förordning (EU) nr 575/2013</w:t>
            </w:r>
            <w:r>
              <w:rPr>
                <w:sz w:val="24"/>
                <w:rFonts w:ascii="Times New Roman" w:hAnsi="Times New Roman"/>
              </w:rPr>
              <w:t xml:space="preserve"> </w:t>
            </w:r>
          </w:p>
          <w:p w14:paraId="7999D7D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Denna kolumn ska endast fyllas i för de dotterföretag som rapporteras på individuell nivå, är fullständigt konsoliderade och som är institut.</w:t>
            </w:r>
            <w:r>
              <w:rPr>
                <w:rStyle w:val="InstructionsTabelleText"/>
                <w:sz w:val="24"/>
                <w:rFonts w:ascii="Times New Roman" w:hAnsi="Times New Roman"/>
              </w:rPr>
              <w:t xml:space="preserve"> </w:t>
            </w:r>
          </w:p>
          <w:p w14:paraId="1DFAEDAA"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Kvalificerande innehav är för ovan angivna dotterföretag de instrument (plus tillhörande balanserade vinstmedel, överkursfonder och andra reserver) som ägs av andra personer än de företag som ingår i konsolideringen i enlighet med förordning (EU) nr 575/2013.</w:t>
            </w:r>
          </w:p>
          <w:p w14:paraId="3E7C4509"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belopp som rapporteras ska inkludera effekterna av eventuella övergångsbestämmelser.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 vara det godtagbara beloppet på rapporteringsdagen.</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0140</w:t>
            </w:r>
          </w:p>
        </w:tc>
        <w:tc>
          <w:tcPr>
            <w:tcW w:w="8640" w:type="dxa"/>
          </w:tcPr>
          <w:p w14:paraId="24287788"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KAPITALBASINSTRUMENT, TILLHÖRANDE BALANSERADE VINSTMEDEL, ÖVERKURSFONDER OCH ÖVRIGA RESERVER</w:t>
            </w:r>
          </w:p>
          <w:p w14:paraId="3F7E53C7"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Artikel 87.1 b</w:t>
            </w:r>
            <w:r>
              <w:rPr>
                <w:sz w:val="24"/>
                <w:rFonts w:ascii="Times New Roman" w:hAnsi="Times New Roman"/>
              </w:rPr>
              <w:t xml:space="preserve"> i förordning (EU) nr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0150</w:t>
            </w:r>
          </w:p>
        </w:tc>
        <w:tc>
          <w:tcPr>
            <w:tcW w:w="8640" w:type="dxa"/>
          </w:tcPr>
          <w:p w14:paraId="5CD3A5A2" w14:textId="77777777" w:rsidR="00173F08" w:rsidRPr="001235ED"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TOTALT PRIMÄRKAPITAL</w:t>
            </w:r>
          </w:p>
          <w:p w14:paraId="3E861344" w14:textId="77777777" w:rsidR="00173F08" w:rsidRPr="001235ED" w:rsidRDefault="00173F08" w:rsidP="00822842">
            <w:pPr>
              <w:rPr>
                <w:rStyle w:val="InstructionsTabelleberschrift"/>
                <w:sz w:val="24"/>
                <w:rFonts w:ascii="Times New Roman" w:hAnsi="Times New Roman"/>
              </w:rPr>
            </w:pPr>
            <w:r>
              <w:rPr>
                <w:sz w:val="24"/>
                <w:rStyle w:val="InstructionsTabelleText"/>
                <w:rFonts w:ascii="Times New Roman" w:hAnsi="Times New Roman"/>
              </w:rPr>
              <w:t xml:space="preserve">Artikel 25 </w:t>
            </w:r>
            <w:r>
              <w:rPr>
                <w:sz w:val="24"/>
                <w:rFonts w:ascii="Times New Roman" w:hAnsi="Times New Roman"/>
              </w:rPr>
              <w:t xml:space="preserve">i förordning (EU) nr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0160</w:t>
            </w:r>
          </w:p>
        </w:tc>
        <w:tc>
          <w:tcPr>
            <w:tcW w:w="8640" w:type="dxa"/>
          </w:tcPr>
          <w:p w14:paraId="72C3705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KVALIFICERANDE PRIMÄRKAPITAL</w:t>
            </w:r>
          </w:p>
          <w:p w14:paraId="4EB8A1F3"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82 </w:t>
            </w:r>
            <w:r>
              <w:rPr>
                <w:sz w:val="24"/>
                <w:rFonts w:ascii="Times New Roman" w:hAnsi="Times New Roman"/>
              </w:rPr>
              <w:t xml:space="preserve">i förordning (EU) nr 575/2013</w:t>
            </w:r>
          </w:p>
          <w:p w14:paraId="1C29CEE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Denna kolumn ska endast fyllas i för de dotterföretag som rapporteras på individuell nivå, är fullständigt konsoliderade och som är institut.</w:t>
            </w:r>
          </w:p>
          <w:p w14:paraId="0AF355C7"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Kvalificerande innehav är för ovan angivna dotterföretag de instrument (plus tillhörande balanserade vinstmedel och överkursfonder) som ägs av andra personer än de företag som ingår i konsolideringen i enlighet med förordning (EU) nr 575/2013.</w:t>
            </w:r>
          </w:p>
          <w:p w14:paraId="342E6F50"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belopp som rapporteras ska inkludera effekterna av eventuella övergångsbestämmelser.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 vara det godtagbara beloppet på rapporteringsdagen.</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0170</w:t>
            </w:r>
          </w:p>
        </w:tc>
        <w:tc>
          <w:tcPr>
            <w:tcW w:w="8640" w:type="dxa"/>
          </w:tcPr>
          <w:p w14:paraId="03B9DCA4"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TILLHÖRANDE PRIMÄRKAPITALINSTRUMENT, TILLHÖRANDE BALANSERADE VINSTMEDEL OCH ÖVERKURSFONDER</w:t>
            </w:r>
          </w:p>
          <w:p w14:paraId="0C524078" w14:textId="77777777" w:rsidR="00173F08" w:rsidRPr="002A677E" w:rsidRDefault="00173F08" w:rsidP="00822842">
            <w:pPr>
              <w:rPr>
                <w:rStyle w:val="InstructionsTabelleberschrift"/>
                <w:sz w:val="24"/>
                <w:rFonts w:ascii="Times New Roman" w:hAnsi="Times New Roman"/>
              </w:rPr>
            </w:pPr>
            <w:r>
              <w:rPr>
                <w:sz w:val="24"/>
                <w:rStyle w:val="InstructionsTabelleberschrift"/>
                <w:rFonts w:ascii="Times New Roman" w:hAnsi="Times New Roman"/>
              </w:rPr>
              <w:t xml:space="preserve">Artikel 85.1 b</w:t>
            </w:r>
            <w:r>
              <w:rPr>
                <w:sz w:val="24"/>
                <w:rFonts w:ascii="Times New Roman" w:hAnsi="Times New Roman"/>
              </w:rPr>
              <w:t xml:space="preserve"> i förordning (EU) nr 575/2013</w:t>
            </w:r>
            <w:r>
              <w:rPr>
                <w:sz w:val="24"/>
                <w:rFonts w:ascii="Times New Roman" w:hAnsi="Times New Roman"/>
              </w:rPr>
              <w:t xml:space="preserve">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0180</w:t>
            </w:r>
          </w:p>
        </w:tc>
        <w:tc>
          <w:tcPr>
            <w:tcW w:w="8640" w:type="dxa"/>
          </w:tcPr>
          <w:p w14:paraId="56913F2B"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KÄRNPRIMÄRKAPITAL</w:t>
            </w:r>
          </w:p>
          <w:p w14:paraId="1D31362E" w14:textId="77777777" w:rsidR="00173F08" w:rsidRPr="002A677E" w:rsidRDefault="00173F08" w:rsidP="00822842">
            <w:pPr>
              <w:rPr>
                <w:rStyle w:val="InstructionsTabelleberschrift"/>
                <w:sz w:val="24"/>
                <w:rFonts w:ascii="Times New Roman" w:hAnsi="Times New Roman"/>
              </w:rPr>
            </w:pPr>
            <w:r>
              <w:rPr>
                <w:sz w:val="24"/>
                <w:rStyle w:val="InstructionsTabelleText"/>
                <w:rFonts w:ascii="Times New Roman" w:hAnsi="Times New Roman"/>
              </w:rPr>
              <w:t xml:space="preserve">Artikel 50 </w:t>
            </w:r>
            <w:r>
              <w:rPr>
                <w:sz w:val="24"/>
                <w:rFonts w:ascii="Times New Roman" w:hAnsi="Times New Roman"/>
              </w:rPr>
              <w:t xml:space="preserve">i förordning (EU) nr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0190</w:t>
            </w:r>
          </w:p>
        </w:tc>
        <w:tc>
          <w:tcPr>
            <w:tcW w:w="8640" w:type="dxa"/>
          </w:tcPr>
          <w:p w14:paraId="7B6598C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MINORITETSINTRESSEN</w:t>
            </w:r>
          </w:p>
          <w:p w14:paraId="03A35E0B"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81 </w:t>
            </w:r>
            <w:r>
              <w:rPr>
                <w:sz w:val="24"/>
                <w:rFonts w:ascii="Times New Roman" w:hAnsi="Times New Roman"/>
              </w:rPr>
              <w:t xml:space="preserve">i förordning (EU) nr 575/2013</w:t>
            </w:r>
          </w:p>
          <w:p w14:paraId="2D5B8BC3"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Denna kolumn ska endast rapporteras för dotterföretag som är fullständigt konsoliderade och som är institut, utom de dotterföretag som avses i artikel 84.3 i förordning (EU) nr 575/2013.</w:t>
            </w:r>
            <w:r>
              <w:rPr>
                <w:sz w:val="24"/>
                <w:rStyle w:val="InstructionsTabelleText"/>
                <w:rFonts w:ascii="Times New Roman" w:hAnsi="Times New Roman"/>
              </w:rPr>
              <w:t xml:space="preserve"> </w:t>
            </w:r>
            <w:r>
              <w:rPr>
                <w:sz w:val="24"/>
                <w:rFonts w:ascii="Times New Roman" w:hAnsi="Times New Roman"/>
              </w:rPr>
              <w:t xml:space="preserve">Varje dotterföretag ska behandlas på undergruppsnivå för samtliga beräkningar som krävs enligt artikel 84 i förordning (EU) nr 575/2013, i tillämpliga fall, i enlighet med artikel 84.2 och annars på individuell nivå.</w:t>
            </w:r>
          </w:p>
          <w:p w14:paraId="2C0D816C"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Minoritetsintressen är för ovan angivna dotterföretag de kärnprimärkapitalinstrument (plus tillhörande balanserade vinstmedel och överkursfonder) som ägs av andra personer än de företag som ingår i konsolideringen i enlighet med förordning (EU) nr 575/2013.</w:t>
            </w:r>
          </w:p>
          <w:p w14:paraId="1D2ACDF3"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belopp som rapporteras ska inkludera effekterna av eventuella övergångsbestämmelser.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 vara det godtagbara beloppet på rapporteringsdagen.</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0200</w:t>
            </w:r>
          </w:p>
        </w:tc>
        <w:tc>
          <w:tcPr>
            <w:tcW w:w="8640" w:type="dxa"/>
          </w:tcPr>
          <w:p w14:paraId="4B6EB0AE"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KAPITALBASINSTRUMENT, TILLHÖRANDE BALANSERADE VINSTMEDEL, ÖVERKURSFONDER OCH ÖVRIGA RESERVER</w:t>
            </w:r>
          </w:p>
          <w:p w14:paraId="707CE464"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Artikel 84.1 b</w:t>
            </w:r>
            <w:r>
              <w:rPr>
                <w:sz w:val="24"/>
                <w:rFonts w:ascii="Times New Roman" w:hAnsi="Times New Roman"/>
              </w:rPr>
              <w:t xml:space="preserve"> i förordning (EU) nr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0210</w:t>
            </w:r>
          </w:p>
        </w:tc>
        <w:tc>
          <w:tcPr>
            <w:tcW w:w="8640" w:type="dxa"/>
          </w:tcPr>
          <w:p w14:paraId="263D68BB"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PRIMÄRKAPITALTILLSKOTT</w:t>
            </w:r>
          </w:p>
          <w:p w14:paraId="1CE78A7A" w14:textId="77777777" w:rsidR="00173F08" w:rsidRPr="002A677E" w:rsidRDefault="00173F08" w:rsidP="00822842">
            <w:pPr>
              <w:rPr>
                <w:rStyle w:val="InstructionsTabelleberschrift"/>
                <w:sz w:val="24"/>
                <w:rFonts w:ascii="Times New Roman" w:hAnsi="Times New Roman"/>
              </w:rPr>
            </w:pPr>
            <w:r>
              <w:rPr>
                <w:sz w:val="24"/>
                <w:rStyle w:val="InstructionsTabelleText"/>
                <w:rFonts w:ascii="Times New Roman" w:hAnsi="Times New Roman"/>
              </w:rPr>
              <w:t xml:space="preserve">Artikel 61 </w:t>
            </w:r>
            <w:r>
              <w:rPr>
                <w:sz w:val="24"/>
                <w:rFonts w:ascii="Times New Roman" w:hAnsi="Times New Roman"/>
              </w:rPr>
              <w:t xml:space="preserve">i förordning (EU) nr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0220</w:t>
            </w:r>
          </w:p>
        </w:tc>
        <w:tc>
          <w:tcPr>
            <w:tcW w:w="8640" w:type="dxa"/>
          </w:tcPr>
          <w:p w14:paraId="6869B355"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KVALIFICERANDE PRIMÄRKAPITALTILLSKOTT</w:t>
            </w:r>
          </w:p>
          <w:p w14:paraId="3A11BFD0"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Artiklarna 82 och 83 i förordning (EU) nr 575/2013</w:t>
            </w:r>
          </w:p>
          <w:p w14:paraId="55F852AC"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Denna kolumn ska endast fyllas i för de dotterföretag som är fullständigt konsoliderade och som är institut, utom de dotterföretag som avses i artikel 85.2 i förordning (EU) nr 575/2013.</w:t>
            </w:r>
            <w:r>
              <w:rPr>
                <w:sz w:val="24"/>
                <w:rStyle w:val="InstructionsTabelleText"/>
                <w:rFonts w:ascii="Times New Roman" w:hAnsi="Times New Roman"/>
              </w:rPr>
              <w:t xml:space="preserve"> </w:t>
            </w:r>
            <w:r>
              <w:rPr>
                <w:sz w:val="24"/>
                <w:rFonts w:ascii="Times New Roman" w:hAnsi="Times New Roman"/>
              </w:rPr>
              <w:t xml:space="preserve">Varje dotterföretag ska behandlas på undergruppsnivå för samtliga beräkningar som krävs enligt artikel 85 i förordning (EU) nr 575/2013, i tillämpliga fall, i enlighet med artikel 85.2 och annars på individuell nivå.</w:t>
            </w:r>
          </w:p>
          <w:p w14:paraId="32886E98"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Minoritetsintressen är för ovan angivna dotterföretag de primärkapitaltillskottsinstrument (plus tillhörande balanserade vinstmedel och överkursfonder) som ägs av andra personer än de företag som ingår i konsolideringen i enlighet med förordning (EU) nr 575/2013.</w:t>
            </w:r>
          </w:p>
          <w:p w14:paraId="37079C74"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belopp som rapporteras ska inkludera effekterna av eventuella övergångsbestämmelser.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 vara det godtagbara beloppet på rapporteringsdagen.</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0230</w:t>
            </w:r>
          </w:p>
        </w:tc>
        <w:tc>
          <w:tcPr>
            <w:tcW w:w="8640" w:type="dxa"/>
          </w:tcPr>
          <w:p w14:paraId="7A2A757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SUPPLEMENTÄRKAPITAL</w:t>
            </w:r>
          </w:p>
          <w:p w14:paraId="49EA3D83" w14:textId="77777777" w:rsidR="00173F08" w:rsidRPr="002A677E" w:rsidRDefault="00173F08" w:rsidP="00822842">
            <w:pPr>
              <w:rPr>
                <w:rStyle w:val="InstructionsTabelleberschrift"/>
                <w:sz w:val="24"/>
                <w:rFonts w:ascii="Times New Roman" w:hAnsi="Times New Roman"/>
              </w:rPr>
            </w:pPr>
            <w:r>
              <w:rPr>
                <w:sz w:val="24"/>
                <w:rStyle w:val="InstructionsTabelleText"/>
                <w:rFonts w:ascii="Times New Roman" w:hAnsi="Times New Roman"/>
              </w:rPr>
              <w:t xml:space="preserve">Artikel 71 </w:t>
            </w:r>
            <w:r>
              <w:rPr>
                <w:sz w:val="24"/>
                <w:rFonts w:ascii="Times New Roman" w:hAnsi="Times New Roman"/>
              </w:rPr>
              <w:t xml:space="preserve">i förordning (EU) nr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0240</w:t>
            </w:r>
          </w:p>
        </w:tc>
        <w:tc>
          <w:tcPr>
            <w:tcW w:w="8640" w:type="dxa"/>
          </w:tcPr>
          <w:p w14:paraId="2E5C3EFE"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KVALIFICERANDE SUPPLEMENTÄRKAPITAL</w:t>
            </w:r>
          </w:p>
          <w:p w14:paraId="23E95E82"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Artiklarna 82 och 83 i förordning (EU) nr 575/2013</w:t>
            </w:r>
          </w:p>
          <w:p w14:paraId="4ADB5899"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Denna kolumn ska endast fyllas i för de dotterföretag som är fullständigt konsoliderade och som är institut, utom de dotterföretag som avses i artikel 87.2 i förordning (EU) nr 575/2013.</w:t>
            </w:r>
            <w:r>
              <w:rPr>
                <w:sz w:val="24"/>
                <w:rStyle w:val="InstructionsTabelleText"/>
                <w:rFonts w:ascii="Times New Roman" w:hAnsi="Times New Roman"/>
              </w:rPr>
              <w:t xml:space="preserve"> </w:t>
            </w:r>
            <w:r>
              <w:rPr>
                <w:sz w:val="24"/>
                <w:rFonts w:ascii="Times New Roman" w:hAnsi="Times New Roman"/>
              </w:rPr>
              <w:t xml:space="preserve">Varje dotterföretag ska behandlas på undergruppsnivå för samtliga beräkningar som krävs enligt artikel 87 i förordning (EU) nr 575/2013, i tillämpliga fall, i enlighet med artikel 87.2 i den förordningen och annars på individuell nivå.</w:t>
            </w:r>
            <w:r>
              <w:rPr>
                <w:sz w:val="24"/>
                <w:rStyle w:val="InstructionsTabelleText"/>
                <w:rFonts w:ascii="Times New Roman" w:hAnsi="Times New Roman"/>
              </w:rPr>
              <w:t xml:space="preserve"> </w:t>
            </w:r>
          </w:p>
          <w:p w14:paraId="5BE2C856"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Minoritetsintressen är för ovan angivna dotterföretag de supplementärkapitaltillskottsinstrument (plus tillhörande balanserade vinstmedel och överkursfonder) som ägs av andra personer än de företag som ingår i konsolideringen i enlighet med förordning (EU) nr 575/2013.</w:t>
            </w:r>
          </w:p>
          <w:p w14:paraId="262C748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belopp som rapporteras ska inkludera effekterna av eventuella övergångsbestämmelser.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 vara det godtagbara beloppet på referensdagen.</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0250–0400</w:t>
            </w:r>
          </w:p>
        </w:tc>
        <w:tc>
          <w:tcPr>
            <w:tcW w:w="8640" w:type="dxa"/>
          </w:tcPr>
          <w:p w14:paraId="37BB26C8"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INFORMATION OM ENHETERS BIDRAG TILL GRUPPENS SOLVENS</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0250–0290</w:t>
            </w:r>
          </w:p>
        </w:tc>
        <w:tc>
          <w:tcPr>
            <w:tcW w:w="8640" w:type="dxa"/>
          </w:tcPr>
          <w:p w14:paraId="42E5971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BIDRAG TILL RISKER</w:t>
            </w:r>
          </w:p>
          <w:p w14:paraId="7CE31949" w14:textId="77777777" w:rsidR="00173F08" w:rsidRPr="002A677E" w:rsidRDefault="00173F08" w:rsidP="00822842">
            <w:pPr>
              <w:rPr>
                <w:rStyle w:val="InstructionsTabelleberschrift"/>
                <w:sz w:val="24"/>
                <w:rFonts w:ascii="Times New Roman" w:hAnsi="Times New Roman"/>
              </w:rPr>
            </w:pPr>
            <w:r>
              <w:rPr>
                <w:sz w:val="24"/>
                <w:rFonts w:ascii="Times New Roman" w:hAnsi="Times New Roman"/>
              </w:rPr>
              <w:t xml:space="preserve">De uppgifter som rapporteras i följande kolumner ska beräknas enligt de solvensregler som är tillämpliga för det rapporterande institutet.</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w:t>
            </w:r>
          </w:p>
        </w:tc>
        <w:tc>
          <w:tcPr>
            <w:tcW w:w="8640" w:type="dxa"/>
          </w:tcPr>
          <w:p w14:paraId="3B982E9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TOTALT RISKVÄGT EXPONERINGSBELOPP</w:t>
            </w:r>
          </w:p>
          <w:p w14:paraId="584007A2"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Summan av kolumnerna 0260–0290 ska rapporteras här.</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0260</w:t>
            </w:r>
          </w:p>
        </w:tc>
        <w:tc>
          <w:tcPr>
            <w:tcW w:w="8640" w:type="dxa"/>
          </w:tcPr>
          <w:p w14:paraId="20D38FF7"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KREDITRISK,</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MOTPARTSRISK,</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UTSPÄDNINGSRISK, TRANSAKTIONER UTAN SAMTIDIG PRESTATION SAMT AVVECKLINGS-/LEVERANSRISK</w:t>
            </w:r>
          </w:p>
          <w:p w14:paraId="6F46A7CE"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belopp som rapporteras ska vara de riskvägda exponeringsbeloppen för kreditrisk och kapitalbaskrav för avvecklings-/leveransrisk i enlighet med förordning (EU) nr 575/2013, exklusive alla belopp tillhörande transaktioner med andra enheter som ingår i den konsoliderade gruppbaserade beräkningen av kapitaltäckningsgraden.</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0270</w:t>
            </w:r>
          </w:p>
        </w:tc>
        <w:tc>
          <w:tcPr>
            <w:tcW w:w="8640" w:type="dxa"/>
          </w:tcPr>
          <w:p w14:paraId="13B2AFE4" w14:textId="4AF0329D"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MARKNADSRISK</w:t>
            </w:r>
          </w:p>
          <w:p w14:paraId="49127EF1" w14:textId="157C9035" w:rsidR="00173F08" w:rsidRPr="001235ED" w:rsidRDefault="00173F08" w:rsidP="00822842">
            <w:pPr>
              <w:rPr>
                <w:rStyle w:val="InstructionsTabelleText"/>
                <w:sz w:val="24"/>
                <w:rFonts w:ascii="Times New Roman" w:hAnsi="Times New Roman"/>
              </w:rPr>
            </w:pPr>
            <w:r>
              <w:rPr>
                <w:sz w:val="24"/>
                <w:rFonts w:ascii="Times New Roman" w:hAnsi="Times New Roman"/>
              </w:rPr>
              <w:t xml:space="preserve">Riskvägda exponeringsbelopp för marknadsrisker ska beräknas på individuell nivå i enlighet med förordning (EU) nr 575/2013.</w:t>
            </w:r>
            <w:r>
              <w:rPr>
                <w:sz w:val="24"/>
                <w:rStyle w:val="InstructionsTabelleText"/>
                <w:rFonts w:ascii="Times New Roman" w:hAnsi="Times New Roman"/>
              </w:rPr>
              <w:t xml:space="preserve"> </w:t>
            </w:r>
            <w:r>
              <w:rPr>
                <w:sz w:val="24"/>
                <w:rStyle w:val="InstructionsTabelleText"/>
                <w:rFonts w:ascii="Times New Roman" w:hAnsi="Times New Roman"/>
              </w:rPr>
              <w:t xml:space="preserve">Enheterna ska rapportera bidraget till de totala riskvägda exponeringsbeloppen för gruppens marknadsrisker.</w:t>
            </w:r>
            <w:r>
              <w:rPr>
                <w:sz w:val="24"/>
                <w:rStyle w:val="InstructionsTabelleText"/>
                <w:rFonts w:ascii="Times New Roman" w:hAnsi="Times New Roman"/>
              </w:rPr>
              <w:t xml:space="preserve"> </w:t>
            </w:r>
            <w:r>
              <w:rPr>
                <w:sz w:val="24"/>
                <w:rStyle w:val="InstructionsTabelleText"/>
                <w:rFonts w:ascii="Times New Roman" w:hAnsi="Times New Roman"/>
              </w:rPr>
              <w:t xml:space="preserve">Summan av de belopp som rapporteras här ska motsvara det belopp som redovisas på rad 0520 ”TOTALT RISKVÄGT EXPONERINGSBELOPP FÖR VERKSAMHET SOM OMFATTAS AV MARKNADSRISK” i den konsoliderade rapporten.</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0280</w:t>
            </w:r>
          </w:p>
        </w:tc>
        <w:tc>
          <w:tcPr>
            <w:tcW w:w="8640" w:type="dxa"/>
          </w:tcPr>
          <w:p w14:paraId="0F996708"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OPERATIV RISK</w:t>
            </w:r>
          </w:p>
          <w:p w14:paraId="58C1AE53" w14:textId="2055313A" w:rsidR="00702B2E" w:rsidRPr="00702B2E" w:rsidRDefault="00702B2E" w:rsidP="00822842">
            <w:pPr>
              <w:rPr>
                <w:sz w:val="24"/>
                <w:rFonts w:ascii="Times New Roman" w:hAnsi="Times New Roman"/>
              </w:rPr>
            </w:pPr>
            <w:r>
              <w:rPr>
                <w:sz w:val="24"/>
                <w:rFonts w:ascii="Times New Roman" w:hAnsi="Times New Roman"/>
              </w:rPr>
              <w:t xml:space="preserve">Det belopp som ska rapporteras i denna kolumn ska motsvara det riskvägda exponeringsbeloppet för operativ risk.</w:t>
            </w:r>
          </w:p>
          <w:p w14:paraId="585BB330" w14:textId="03A1297F"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Fasta omkostnader ska ingå i denna kolumn.</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0290</w:t>
            </w:r>
          </w:p>
        </w:tc>
        <w:tc>
          <w:tcPr>
            <w:tcW w:w="8640" w:type="dxa"/>
          </w:tcPr>
          <w:p w14:paraId="1A6735B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ÖVRIGA RISKEXPONERINGSBELOPP</w:t>
            </w:r>
          </w:p>
          <w:p w14:paraId="0483564A"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belopp som ska rapporteras i denna kolumn ska motsvara det riskvägda exponeringsbeloppet för risker som inte tas upp specifikt ovan.</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0300–0400</w:t>
            </w:r>
          </w:p>
        </w:tc>
        <w:tc>
          <w:tcPr>
            <w:tcW w:w="8640" w:type="dxa"/>
          </w:tcPr>
          <w:p w14:paraId="648286B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BIDRAG TILL KAPITALBASEN</w:t>
            </w:r>
          </w:p>
          <w:p w14:paraId="7E77E775" w14:textId="77777777" w:rsidR="00173F08" w:rsidRPr="001235ED" w:rsidRDefault="00173F08" w:rsidP="00822842">
            <w:pPr>
              <w:pStyle w:val="Texte2"/>
              <w:ind w:left="0"/>
              <w:rPr>
                <w:rStyle w:val="InstructionsTabelleText"/>
                <w:sz w:val="24"/>
                <w:szCs w:val="24"/>
                <w:rFonts w:ascii="Times New Roman" w:hAnsi="Times New Roman"/>
              </w:rPr>
            </w:pPr>
            <w:r>
              <w:rPr>
                <w:rStyle w:val="InstructionsTabelleText"/>
                <w:sz w:val="24"/>
                <w:rFonts w:ascii="Times New Roman" w:hAnsi="Times New Roman"/>
              </w:rPr>
              <w:t xml:space="preserve">I denna del av mallen behöver instituten inte göra en fullständig beräkning av den totala kapitalrelationen för varje enskild enhet.</w:t>
            </w:r>
            <w:r>
              <w:rPr>
                <w:rStyle w:val="InstructionsTabelleText"/>
                <w:sz w:val="24"/>
                <w:rFonts w:ascii="Times New Roman" w:hAnsi="Times New Roman"/>
              </w:rPr>
              <w:t xml:space="preserve"> </w:t>
            </w:r>
          </w:p>
          <w:p w14:paraId="58F77BCC" w14:textId="77777777" w:rsidR="00173F08" w:rsidRPr="002A677E" w:rsidRDefault="00173F08" w:rsidP="00822842">
            <w:pPr>
              <w:pStyle w:val="Texte2"/>
              <w:ind w:left="0"/>
              <w:rPr>
                <w:rStyle w:val="InstructionsTabelleText"/>
                <w:sz w:val="24"/>
                <w:szCs w:val="24"/>
                <w:rFonts w:ascii="Times New Roman" w:hAnsi="Times New Roman"/>
              </w:rPr>
            </w:pPr>
            <w:r>
              <w:rPr>
                <w:sz w:val="24"/>
                <w:rFonts w:ascii="Times New Roman" w:hAnsi="Times New Roman"/>
              </w:rPr>
              <w:t xml:space="preserve">Kolumnerna 0300–0350 ska rapporteras för de konsoliderade enheter som bidrar till kapitalbasen genom minoritetsintressen, kvalificerande primärkapital eller kvalificerande kapitalbas.</w:t>
            </w:r>
            <w:r>
              <w:rPr>
                <w:sz w:val="24"/>
                <w:rFonts w:ascii="Times New Roman" w:hAnsi="Times New Roman"/>
              </w:rPr>
              <w:t xml:space="preserve"> </w:t>
            </w:r>
            <w:r>
              <w:rPr>
                <w:sz w:val="24"/>
                <w:rFonts w:ascii="Times New Roman" w:hAnsi="Times New Roman"/>
              </w:rPr>
              <w:t xml:space="preserve">Med beaktande av det tröskelvärde som avses i del II kapitel 2.3 sista stycket ovan, ska kolumnerna 0360–0400 rapporteras för alla konsoliderade enheter som bidrar till den konsoliderade kapitalbasen.</w:t>
            </w:r>
          </w:p>
          <w:p w14:paraId="29552A89" w14:textId="77777777" w:rsidR="00173F08" w:rsidRPr="002A677E" w:rsidRDefault="00173F08" w:rsidP="00822842">
            <w:pPr>
              <w:pStyle w:val="Texte2"/>
              <w:ind w:left="0"/>
              <w:rPr>
                <w:rStyle w:val="InstructionsTabelleText"/>
                <w:sz w:val="24"/>
                <w:szCs w:val="24"/>
                <w:rFonts w:ascii="Times New Roman" w:hAnsi="Times New Roman"/>
              </w:rPr>
            </w:pPr>
            <w:r>
              <w:rPr>
                <w:rStyle w:val="InstructionsTabelleText"/>
                <w:sz w:val="24"/>
                <w:rFonts w:ascii="Times New Roman" w:hAnsi="Times New Roman"/>
              </w:rPr>
              <w:t xml:space="preserve">Medel som tillförs en enhets kapitalbas från övriga enheter som omfattas av den rapporterande enheten ska inte beaktas, utan det är bara nettobidraget till gruppens kapitalbas som ska rapporteras i denna kolumn (huvudsakligen den kapitalbas som erhålls från tredje part och ackumulerade reserver).</w:t>
            </w:r>
            <w:r>
              <w:rPr>
                <w:rStyle w:val="InstructionsTabelleText"/>
                <w:sz w:val="24"/>
                <w:rFonts w:ascii="Times New Roman" w:hAnsi="Times New Roman"/>
              </w:rPr>
              <w:t xml:space="preserve"> </w:t>
            </w:r>
          </w:p>
          <w:p w14:paraId="434D930D" w14:textId="77777777" w:rsidR="00173F08" w:rsidRPr="002A677E" w:rsidRDefault="00173F08" w:rsidP="00822842">
            <w:pPr>
              <w:pStyle w:val="Texte2"/>
              <w:spacing w:after="120"/>
              <w:ind w:left="0"/>
              <w:rPr>
                <w:rStyle w:val="InstructionsTabelleberschrift"/>
                <w:b w:val="0"/>
                <w:bCs w:val="0"/>
                <w:sz w:val="24"/>
                <w:szCs w:val="24"/>
                <w:rFonts w:ascii="Times New Roman" w:hAnsi="Times New Roman"/>
              </w:rPr>
            </w:pPr>
            <w:r>
              <w:rPr>
                <w:rStyle w:val="InstructionsTabelleText"/>
                <w:sz w:val="24"/>
                <w:rFonts w:ascii="Times New Roman" w:hAnsi="Times New Roman"/>
              </w:rPr>
              <w:t xml:space="preserve">De uppgifter som rapporteras i följande kolumner ska beräknas enligt de solvensregler som är tillämpliga för det rapporterande institutet.</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0300–0350</w:t>
            </w:r>
          </w:p>
        </w:tc>
        <w:tc>
          <w:tcPr>
            <w:tcW w:w="8640" w:type="dxa"/>
          </w:tcPr>
          <w:p w14:paraId="1F3610D7"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KVALIFICERANDE KAPITALBAS SOM INGÅR I KONSOLIDERAD KAPITALBAS</w:t>
            </w:r>
          </w:p>
          <w:p w14:paraId="7830B882" w14:textId="77777777" w:rsidR="00173F08" w:rsidRPr="002A677E" w:rsidRDefault="00173F08" w:rsidP="00822842">
            <w:pPr>
              <w:rPr>
                <w:rStyle w:val="InstructionsTabelleberschrift"/>
                <w:sz w:val="24"/>
                <w:rFonts w:ascii="Times New Roman" w:hAnsi="Times New Roman"/>
              </w:rPr>
            </w:pPr>
            <w:r>
              <w:rPr>
                <w:sz w:val="24"/>
                <w:rFonts w:ascii="Times New Roman" w:hAnsi="Times New Roman"/>
              </w:rPr>
              <w:t xml:space="preserve">Det belopp som ska rapporteras som ’KVALIFICERANDE KAPITALBAS SOM INGÅR I KONSOLIDERAD KAPITALBAS’ beräknas i enlighet med del två, avdelning II i förordning (EU) nr 575/2013, exklusive eventuella medel som tillförs från övriga enheter i gruppen.</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0300</w:t>
            </w:r>
          </w:p>
        </w:tc>
        <w:tc>
          <w:tcPr>
            <w:tcW w:w="8640" w:type="dxa"/>
          </w:tcPr>
          <w:p w14:paraId="5246551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KVALIFICERANDE KAPITALBAS SOM INGÅR I KONSOLIDERAD KAPITALBAS</w:t>
            </w:r>
          </w:p>
          <w:p w14:paraId="6F3A607D"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87 </w:t>
            </w:r>
            <w:r>
              <w:rPr>
                <w:sz w:val="24"/>
                <w:rFonts w:ascii="Times New Roman" w:hAnsi="Times New Roman"/>
              </w:rPr>
              <w:t xml:space="preserve">i förordning (EU) nr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0310</w:t>
            </w:r>
          </w:p>
        </w:tc>
        <w:tc>
          <w:tcPr>
            <w:tcW w:w="8640" w:type="dxa"/>
          </w:tcPr>
          <w:p w14:paraId="2378035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KVALIFICERANDE PRIMÄRKAPITALINSTRUMENT SOM INGÅR I DET KONSOLIDERADE PRIMÄRKAPITALET</w:t>
            </w:r>
          </w:p>
          <w:p w14:paraId="4E25C234"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85 </w:t>
            </w:r>
            <w:r>
              <w:rPr>
                <w:sz w:val="24"/>
                <w:rFonts w:ascii="Times New Roman" w:hAnsi="Times New Roman"/>
              </w:rPr>
              <w:t xml:space="preserve">i förordning (EU) nr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0320</w:t>
            </w:r>
          </w:p>
        </w:tc>
        <w:tc>
          <w:tcPr>
            <w:tcW w:w="8640" w:type="dxa"/>
          </w:tcPr>
          <w:p w14:paraId="5D406C67" w14:textId="77777777" w:rsidR="00173F08" w:rsidRPr="002A677E" w:rsidRDefault="00173F08" w:rsidP="00822842">
            <w:pPr>
              <w:rPr>
                <w:rStyle w:val="InstructionsTabelleText"/>
                <w:sz w:val="24"/>
                <w:rFonts w:ascii="Times New Roman" w:hAnsi="Times New Roman"/>
              </w:rPr>
            </w:pPr>
            <w:r>
              <w:rPr>
                <w:rStyle w:val="InstructionsTabelleberschrift"/>
                <w:sz w:val="24"/>
                <w:rFonts w:ascii="Times New Roman" w:hAnsi="Times New Roman"/>
              </w:rPr>
              <w:t xml:space="preserve">MINORITETSINTRESSEN SOM INGÅR I DET KONSOLIDERADE</w:t>
            </w:r>
            <w:r>
              <w:rPr>
                <w:rStyle w:val="InstructionsTabelleberschrift"/>
                <w:sz w:val="24"/>
                <w:rFonts w:ascii="Times New Roman" w:hAnsi="Times New Roman"/>
              </w:rPr>
              <w:br/>
            </w:r>
            <w:r>
              <w:rPr>
                <w:rStyle w:val="InstructionsTabelleberschrift"/>
                <w:sz w:val="24"/>
                <w:rFonts w:ascii="Times New Roman" w:hAnsi="Times New Roman"/>
              </w:rPr>
              <w:t xml:space="preserve">KÄRNPRIMÄRKAPITALET</w:t>
            </w:r>
          </w:p>
          <w:p w14:paraId="0B8B81AA"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84 </w:t>
            </w:r>
            <w:r>
              <w:rPr>
                <w:sz w:val="24"/>
                <w:rFonts w:ascii="Times New Roman" w:hAnsi="Times New Roman"/>
              </w:rPr>
              <w:t xml:space="preserve">i förordning (EU) nr 575/2013</w:t>
            </w:r>
          </w:p>
          <w:p w14:paraId="01FA0CDC"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belopp som ska rapporteras ska motsvara den del av ett dotterföretags minoritetsintressen som ingår i det konsoliderade kärnprimärkapitalet i enlighet med förordning (EU) nr 575/2013.</w:t>
            </w:r>
            <w:r>
              <w:rPr>
                <w:sz w:val="24"/>
                <w:rStyle w:val="InstructionsTabelleText"/>
                <w:rFonts w:ascii="Times New Roman" w:hAnsi="Times New Roman"/>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0330</w:t>
            </w:r>
          </w:p>
        </w:tc>
        <w:tc>
          <w:tcPr>
            <w:tcW w:w="8640" w:type="dxa"/>
          </w:tcPr>
          <w:p w14:paraId="6AF15CF2" w14:textId="77777777" w:rsidR="00173F08" w:rsidRPr="002A677E" w:rsidRDefault="00173F08" w:rsidP="00822842">
            <w:pPr>
              <w:rPr>
                <w:rStyle w:val="InstructionsTabelleText"/>
                <w:sz w:val="24"/>
                <w:rFonts w:ascii="Times New Roman" w:hAnsi="Times New Roman"/>
              </w:rPr>
            </w:pPr>
            <w:r>
              <w:rPr>
                <w:rStyle w:val="InstructionsTabelleberschrift"/>
                <w:sz w:val="24"/>
                <w:rFonts w:ascii="Times New Roman" w:hAnsi="Times New Roman"/>
              </w:rPr>
              <w:t xml:space="preserve">KVALIFICERANDE PRIMÄRKAPITALINSTRUMENT SOM INGÅR I DET KONSOLIDERADE PRIMÄRKAPITALTILLSKOTTET</w:t>
            </w:r>
          </w:p>
          <w:p w14:paraId="488797C4"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86 </w:t>
            </w:r>
            <w:r>
              <w:rPr>
                <w:sz w:val="24"/>
                <w:rFonts w:ascii="Times New Roman" w:hAnsi="Times New Roman"/>
              </w:rPr>
              <w:t xml:space="preserve">i förordning (EU) nr 575/2013</w:t>
            </w:r>
          </w:p>
          <w:p w14:paraId="14D60AC1"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belopp som ska rapporteras ska motsvara den del av ett dotterföretags kvalificerande primärkapital som ingår i det konsoliderade primärkapitaltillskottet i enlighet med förordning (EU) nr 575/2013.</w:t>
            </w:r>
            <w:r>
              <w:rPr>
                <w:sz w:val="24"/>
                <w:rStyle w:val="InstructionsTabelleText"/>
                <w:rFonts w:ascii="Times New Roman" w:hAnsi="Times New Roman"/>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0340</w:t>
            </w:r>
          </w:p>
        </w:tc>
        <w:tc>
          <w:tcPr>
            <w:tcW w:w="8640" w:type="dxa"/>
          </w:tcPr>
          <w:p w14:paraId="6E1E5EBF"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KVALIFICERANDE KAPITALBASINSTRUMENT SOM INGÅR I DET </w:t>
            </w:r>
            <w:r>
              <w:rPr>
                <w:rStyle w:val="InstructionsTabelleberschrift"/>
                <w:sz w:val="24"/>
                <w:rFonts w:ascii="Times New Roman" w:hAnsi="Times New Roman"/>
              </w:rPr>
              <w:br/>
            </w:r>
            <w:r>
              <w:rPr>
                <w:rStyle w:val="InstructionsTabelleberschrift"/>
                <w:sz w:val="24"/>
                <w:rFonts w:ascii="Times New Roman" w:hAnsi="Times New Roman"/>
              </w:rPr>
              <w:t xml:space="preserve">KONSOLIDERADE SUPPLEMENTÄRKAPITALET</w:t>
            </w:r>
          </w:p>
          <w:p w14:paraId="1E25A6DF"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88 </w:t>
            </w:r>
            <w:r>
              <w:rPr>
                <w:sz w:val="24"/>
                <w:rFonts w:ascii="Times New Roman" w:hAnsi="Times New Roman"/>
              </w:rPr>
              <w:t xml:space="preserve">i förordning (EU) nr 575/2013</w:t>
            </w:r>
          </w:p>
          <w:p w14:paraId="257F78A1"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belopp som ska rapporteras ska motsvara den del av ett dotterföretags kvalificerande kapitalbas som ingår i det konsoliderade konsoliderat supplementärkapitalet i enlighet med förordning (EU) nr 575/2013.</w:t>
            </w:r>
            <w:r>
              <w:rPr>
                <w:sz w:val="24"/>
                <w:rStyle w:val="InstructionsTabelleText"/>
                <w:rFonts w:ascii="Times New Roman" w:hAnsi="Times New Roman"/>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sz w:val="24"/>
                <w:rFonts w:ascii="Times New Roman" w:hAnsi="Times New Roman"/>
              </w:rPr>
            </w:pPr>
            <w:r>
              <w:rPr>
                <w:sz w:val="24"/>
                <w:rFonts w:ascii="Times New Roman" w:hAnsi="Times New Roman"/>
              </w:rPr>
              <w:t xml:space="preserve">0350</w:t>
            </w:r>
          </w:p>
        </w:tc>
        <w:tc>
          <w:tcPr>
            <w:tcW w:w="8640" w:type="dxa"/>
          </w:tcPr>
          <w:p w14:paraId="7BBDC2E3"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GOODWILL (-) / (+) NEGATIV GOODWILL</w:t>
            </w:r>
          </w:p>
        </w:tc>
      </w:tr>
      <w:tr w:rsidR="00173F08" w:rsidRPr="002A677E" w14:paraId="3997C23F" w14:textId="77777777" w:rsidTr="00822842">
        <w:tc>
          <w:tcPr>
            <w:tcW w:w="1188" w:type="dxa"/>
          </w:tcPr>
          <w:p w14:paraId="72AB87A5" w14:textId="77777777" w:rsidR="00173F08" w:rsidRPr="002A677E" w:rsidRDefault="00173F08" w:rsidP="00822842">
            <w:pPr>
              <w:rPr>
                <w:sz w:val="24"/>
                <w:rFonts w:ascii="Times New Roman" w:hAnsi="Times New Roman"/>
              </w:rPr>
            </w:pPr>
            <w:r>
              <w:rPr>
                <w:sz w:val="24"/>
                <w:rFonts w:ascii="Times New Roman" w:hAnsi="Times New Roman"/>
              </w:rPr>
              <w:t xml:space="preserve">0360–0400</w:t>
            </w:r>
          </w:p>
        </w:tc>
        <w:tc>
          <w:tcPr>
            <w:tcW w:w="8640" w:type="dxa"/>
          </w:tcPr>
          <w:p w14:paraId="397FA95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KONSOLIDERAD KAPITALBAS</w:t>
            </w:r>
          </w:p>
          <w:p w14:paraId="71907E17"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Artikel 18 </w:t>
            </w:r>
            <w:r>
              <w:rPr>
                <w:sz w:val="24"/>
                <w:rFonts w:ascii="Times New Roman" w:hAnsi="Times New Roman"/>
              </w:rPr>
              <w:t xml:space="preserve">i förordning (EU) nr 575/2013</w:t>
            </w:r>
          </w:p>
          <w:p w14:paraId="4F42327D"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Som ”KONSOLIDERAD KAPITALBAS” rapporteras det belopp som redovisas i balansräkningen, exklusive eventuella medel som tillförts från övriga enheter i gruppen.</w:t>
            </w:r>
          </w:p>
        </w:tc>
      </w:tr>
      <w:tr w:rsidR="00173F08" w:rsidRPr="002A677E" w14:paraId="293A7FF6" w14:textId="77777777" w:rsidTr="00822842">
        <w:tc>
          <w:tcPr>
            <w:tcW w:w="1188" w:type="dxa"/>
          </w:tcPr>
          <w:p w14:paraId="0E03C6C1" w14:textId="77777777" w:rsidR="00173F08" w:rsidRPr="002A677E" w:rsidRDefault="00173F08" w:rsidP="00822842">
            <w:pPr>
              <w:rPr>
                <w:sz w:val="24"/>
                <w:rFonts w:ascii="Times New Roman" w:hAnsi="Times New Roman"/>
              </w:rPr>
            </w:pPr>
            <w:r>
              <w:rPr>
                <w:sz w:val="24"/>
                <w:rFonts w:ascii="Times New Roman" w:hAnsi="Times New Roman"/>
              </w:rPr>
              <w:t xml:space="preserve">0360</w:t>
            </w:r>
          </w:p>
        </w:tc>
        <w:tc>
          <w:tcPr>
            <w:tcW w:w="8640" w:type="dxa"/>
          </w:tcPr>
          <w:p w14:paraId="41EC81C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KONSOLIDERAD KAPITALBAS</w:t>
            </w:r>
          </w:p>
        </w:tc>
      </w:tr>
      <w:tr w:rsidR="00173F08" w:rsidRPr="002A677E" w14:paraId="2E86BBAD" w14:textId="77777777" w:rsidTr="00822842">
        <w:tc>
          <w:tcPr>
            <w:tcW w:w="1188" w:type="dxa"/>
          </w:tcPr>
          <w:p w14:paraId="444BD8B5" w14:textId="77777777" w:rsidR="00173F08" w:rsidRPr="002A677E" w:rsidRDefault="00173F08" w:rsidP="00822842">
            <w:pPr>
              <w:rPr>
                <w:sz w:val="24"/>
                <w:rFonts w:ascii="Times New Roman" w:hAnsi="Times New Roman"/>
              </w:rPr>
            </w:pPr>
            <w:r>
              <w:rPr>
                <w:sz w:val="24"/>
                <w:rFonts w:ascii="Times New Roman" w:hAnsi="Times New Roman"/>
              </w:rPr>
              <w:t xml:space="preserve">0370</w:t>
            </w:r>
          </w:p>
        </w:tc>
        <w:tc>
          <w:tcPr>
            <w:tcW w:w="8640" w:type="dxa"/>
          </w:tcPr>
          <w:p w14:paraId="2CC57784"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KÄRNPRIMÄRKAPITAL</w:t>
            </w:r>
          </w:p>
        </w:tc>
      </w:tr>
      <w:tr w:rsidR="00173F08" w:rsidRPr="002A677E" w14:paraId="68DCA9F1" w14:textId="77777777" w:rsidTr="00822842">
        <w:tc>
          <w:tcPr>
            <w:tcW w:w="1188" w:type="dxa"/>
          </w:tcPr>
          <w:p w14:paraId="01DAA296" w14:textId="77777777" w:rsidR="00173F08" w:rsidRPr="002A677E" w:rsidDel="0081176B" w:rsidRDefault="00173F08" w:rsidP="00822842">
            <w:pPr>
              <w:rPr>
                <w:sz w:val="24"/>
                <w:rFonts w:ascii="Times New Roman" w:hAnsi="Times New Roman"/>
              </w:rPr>
            </w:pPr>
            <w:r>
              <w:rPr>
                <w:sz w:val="24"/>
                <w:rFonts w:ascii="Times New Roman" w:hAnsi="Times New Roman"/>
              </w:rPr>
              <w:t xml:space="preserve">0380</w:t>
            </w:r>
          </w:p>
        </w:tc>
        <w:tc>
          <w:tcPr>
            <w:tcW w:w="8640" w:type="dxa"/>
          </w:tcPr>
          <w:p w14:paraId="3B9BF397" w14:textId="77777777" w:rsidR="00173F08" w:rsidRPr="002A677E" w:rsidDel="0081176B"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PRIMÄRKAPITALTILLSKOTT</w:t>
            </w:r>
          </w:p>
        </w:tc>
      </w:tr>
      <w:tr w:rsidR="00173F08" w:rsidRPr="002A677E" w14:paraId="0D196D2B" w14:textId="77777777" w:rsidTr="00822842">
        <w:tc>
          <w:tcPr>
            <w:tcW w:w="1188" w:type="dxa"/>
          </w:tcPr>
          <w:p w14:paraId="74707B55" w14:textId="77777777" w:rsidR="00173F08" w:rsidRPr="002A677E" w:rsidRDefault="00173F08" w:rsidP="00822842">
            <w:pPr>
              <w:rPr>
                <w:sz w:val="24"/>
                <w:rFonts w:ascii="Times New Roman" w:hAnsi="Times New Roman"/>
              </w:rPr>
            </w:pPr>
            <w:r>
              <w:rPr>
                <w:sz w:val="24"/>
                <w:rFonts w:ascii="Times New Roman" w:hAnsi="Times New Roman"/>
              </w:rPr>
              <w:t xml:space="preserve">0390</w:t>
            </w:r>
          </w:p>
        </w:tc>
        <w:tc>
          <w:tcPr>
            <w:tcW w:w="8640" w:type="dxa"/>
          </w:tcPr>
          <w:p w14:paraId="1A386497" w14:textId="77777777" w:rsidR="00173F08" w:rsidRPr="002A677E" w:rsidRDefault="00173F08" w:rsidP="00822842">
            <w:pPr>
              <w:rPr>
                <w:rStyle w:val="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BIDRAG TILL KONSOLIDERAT RESULTAT</w:t>
            </w:r>
          </w:p>
          <w:p w14:paraId="0077C050"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Här rapporteras varje enhets bidrag till det konsoliderade resultatet (vinst eller förlust(-)).</w:t>
            </w:r>
            <w:r>
              <w:rPr>
                <w:rStyle w:val="InstructionsTabelleText"/>
                <w:sz w:val="24"/>
                <w:rFonts w:ascii="Times New Roman" w:hAnsi="Times New Roman"/>
              </w:rPr>
              <w:t xml:space="preserve"> </w:t>
            </w:r>
            <w:r>
              <w:rPr>
                <w:rStyle w:val="InstructionsTabelleText"/>
                <w:sz w:val="24"/>
                <w:rFonts w:ascii="Times New Roman" w:hAnsi="Times New Roman"/>
              </w:rPr>
              <w:t xml:space="preserve">Det gäller även resultat som kan hänföras till minoritetsintressen.</w:t>
            </w:r>
          </w:p>
        </w:tc>
      </w:tr>
      <w:tr w:rsidR="00173F08" w:rsidRPr="002A677E" w14:paraId="499357F9" w14:textId="77777777" w:rsidTr="00822842">
        <w:tc>
          <w:tcPr>
            <w:tcW w:w="1188" w:type="dxa"/>
          </w:tcPr>
          <w:p w14:paraId="237DD5A1" w14:textId="77777777" w:rsidR="00173F08" w:rsidRPr="002A677E" w:rsidRDefault="00173F08" w:rsidP="00822842">
            <w:pPr>
              <w:rPr>
                <w:sz w:val="24"/>
                <w:rFonts w:ascii="Times New Roman" w:hAnsi="Times New Roman"/>
              </w:rPr>
            </w:pPr>
            <w:r>
              <w:rPr>
                <w:sz w:val="24"/>
                <w:rFonts w:ascii="Times New Roman" w:hAnsi="Times New Roman"/>
              </w:rPr>
              <w:t xml:space="preserve">0400</w:t>
            </w:r>
          </w:p>
        </w:tc>
        <w:tc>
          <w:tcPr>
            <w:tcW w:w="8640" w:type="dxa"/>
          </w:tcPr>
          <w:p w14:paraId="2D7939A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 GOODWILL / (+) NEGATIV GOODWILL</w:t>
            </w:r>
          </w:p>
          <w:p w14:paraId="1EA56152"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Här rapporteras den rapporterande enhetens goodwill eller negativa goodwill gentemot dotterföretaget.</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0410–0480</w:t>
            </w:r>
          </w:p>
        </w:tc>
        <w:tc>
          <w:tcPr>
            <w:tcW w:w="8640" w:type="dxa"/>
          </w:tcPr>
          <w:p w14:paraId="653C81F3"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KAPITALBUFFERTAR</w:t>
            </w:r>
          </w:p>
          <w:p w14:paraId="5D522742"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Rapporteringen av kapitalbuffertar i mallen för solvens på gruppnivå (GS) ska ha samma allmänna struktur och följa samma rapporteringsprinciper som mall CA4.</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De relevanta beloppen för kapitalbuffertar ska rapporteras i GS-mallen i enlighet med bestämmelserna om beräkning av kapitalbuffertkraven för en grupps konsoliderade situation.</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De rapporterade kapitalbuffertbeloppen ska därför representera varje enhets bidrag till gruppkapitalbuffertarna.</w:t>
            </w:r>
            <w:r>
              <w:rPr>
                <w:sz w:val="24"/>
                <w:rStyle w:val="InstructionsTabelleberschrift"/>
                <w:rFonts w:ascii="Times New Roman" w:hAnsi="Times New Roman"/>
              </w:rPr>
              <w:t xml:space="preserve"> </w:t>
            </w:r>
            <w:r>
              <w:rPr>
                <w:sz w:val="24"/>
                <w:rFonts w:ascii="Times New Roman" w:hAnsi="Times New Roman"/>
              </w:rPr>
              <w:t xml:space="preserve">De rapporterade beloppen ska grunda sig på de nationella bestämmelser som införlivar direktiv 2013/36/EU och på förordning (EU) nr 575/2013, inbegripet alla övergångsbestämmelser i dessa akter.</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0410</w:t>
            </w:r>
          </w:p>
        </w:tc>
        <w:tc>
          <w:tcPr>
            <w:tcW w:w="8640" w:type="dxa"/>
          </w:tcPr>
          <w:p w14:paraId="14D301D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KOMBINERADE BUFFERTKRAV</w:t>
            </w:r>
          </w:p>
          <w:p w14:paraId="7DF96672" w14:textId="77777777" w:rsidR="00173F08" w:rsidRPr="002A677E" w:rsidRDefault="00173F08" w:rsidP="00822842">
            <w:pPr>
              <w:tabs>
                <w:tab w:val="left" w:pos="3510"/>
              </w:tabs>
              <w:rPr>
                <w:rStyle w:val="InstructionsTabelleberschrift"/>
                <w:sz w:val="24"/>
                <w:rFonts w:ascii="Times New Roman" w:hAnsi="Times New Roman"/>
              </w:rPr>
            </w:pPr>
            <w:r>
              <w:rPr>
                <w:sz w:val="24"/>
                <w:rFonts w:ascii="Times New Roman" w:hAnsi="Times New Roman"/>
              </w:rPr>
              <w:t xml:space="preserve">Artikel 128.6 i direktiv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0420</w:t>
            </w:r>
          </w:p>
        </w:tc>
        <w:tc>
          <w:tcPr>
            <w:tcW w:w="8640" w:type="dxa"/>
          </w:tcPr>
          <w:p w14:paraId="41EA8A9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KAPITALKONSERVERINGSBUFFERT</w:t>
            </w:r>
          </w:p>
          <w:p w14:paraId="5DD283B6"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Artiklarna 128.1 och 129 i direktiv 2013/36/EU</w:t>
            </w:r>
          </w:p>
          <w:p w14:paraId="7013CF4E" w14:textId="77777777" w:rsidR="00173F08" w:rsidRPr="002A677E" w:rsidRDefault="00173F08" w:rsidP="00822842">
            <w:pPr>
              <w:pStyle w:val="InstructionsText"/>
              <w:rPr>
                <w:rStyle w:val="InstructionsTabelleText"/>
              </w:rPr>
            </w:pPr>
            <w:r>
              <w:t xml:space="preserve">I enlighet med artikel 129.1 i direktiv 2013/36/EU är kapitalkonserveringsbufferten ett tillägg till kärnprimärkapitalet.</w:t>
            </w:r>
            <w:r>
              <w:t xml:space="preserve"> </w:t>
            </w:r>
            <w:r>
              <w:t xml:space="preserve">Eftersom kapitalkonserveringsbufferten utgörs av en fast andel på 2,5 % ska ett belopp rapporteras i denna cell.</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0430</w:t>
            </w:r>
          </w:p>
        </w:tc>
        <w:tc>
          <w:tcPr>
            <w:tcW w:w="8640" w:type="dxa"/>
          </w:tcPr>
          <w:p w14:paraId="6552E827"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INSTITUTSPECIFIK KONTRACYKLISK KAPITALBUFFERT</w:t>
            </w:r>
          </w:p>
          <w:p w14:paraId="38A11488"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Artiklarna 128.2, 130 och 135–140 i direktiv 2013/36/EU</w:t>
            </w:r>
          </w:p>
          <w:p w14:paraId="169D829F" w14:textId="77777777" w:rsidR="00173F08" w:rsidRPr="002A677E" w:rsidRDefault="00173F08" w:rsidP="00822842">
            <w:pPr>
              <w:pStyle w:val="InstructionsText"/>
              <w:rPr>
                <w:rStyle w:val="InstructionsTabelleText"/>
              </w:rPr>
            </w:pPr>
            <w:r>
              <w:t xml:space="preserve">Det konkreta beloppet för den kontracykliska bufferten ska rapporteras i denna cell.</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0440</w:t>
            </w:r>
          </w:p>
        </w:tc>
        <w:tc>
          <w:tcPr>
            <w:tcW w:w="8640" w:type="dxa"/>
          </w:tcPr>
          <w:p w14:paraId="3C0108F5"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KONSERVERINGSBUFFERT PÅ GRUND AV MAKROTILLSYNSRISKER ELLER SYSTEMRISKER IDENTIFIERADE PÅ MEDLEMSSTATSNIVÅ</w:t>
            </w:r>
          </w:p>
          <w:p w14:paraId="0EC165D1"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Artikel 458.2 led d iv</w:t>
            </w:r>
            <w:r>
              <w:rPr>
                <w:sz w:val="24"/>
                <w:rFonts w:ascii="Times New Roman" w:hAnsi="Times New Roman"/>
              </w:rPr>
              <w:t xml:space="preserve"> i förordning (EU) nr 575/2013</w:t>
            </w:r>
          </w:p>
          <w:p w14:paraId="2C6BA8FE" w14:textId="77777777" w:rsidR="00173F08" w:rsidRPr="002A677E" w:rsidRDefault="00173F08" w:rsidP="00822842">
            <w:pPr>
              <w:pStyle w:val="InstructionsText"/>
              <w:rPr>
                <w:rStyle w:val="InstructionsTabelleberschrift"/>
              </w:rPr>
            </w:pPr>
            <w:r>
              <w:t xml:space="preserve">Beloppet för den konserveringsbuffert för makrotillsynsrisker eller systemrisker identifierade på medlemsstatsnivå som kan krävas utöver kapitalkonserveringsbufferten i enlighet med artikel 458 i förordning (EU) nr 575/2013 ska rapporteras i denna cell.</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0450</w:t>
            </w:r>
          </w:p>
        </w:tc>
        <w:tc>
          <w:tcPr>
            <w:tcW w:w="8640" w:type="dxa"/>
          </w:tcPr>
          <w:p w14:paraId="37512F5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SYSTEMRISKBUFFERT</w:t>
            </w:r>
          </w:p>
          <w:p w14:paraId="409112BD" w14:textId="77777777" w:rsidR="00173F08" w:rsidRPr="002A677E" w:rsidRDefault="00173F08" w:rsidP="00822842">
            <w:pPr>
              <w:pStyle w:val="InstructionsText"/>
            </w:pPr>
            <w:r>
              <w:t xml:space="preserve">Artiklarna 128.5, 133 och 134 i direktiv 2013/36/EU</w:t>
            </w:r>
            <w:r>
              <w:t xml:space="preserve"> </w:t>
            </w:r>
          </w:p>
          <w:p w14:paraId="1888AE1C" w14:textId="77777777" w:rsidR="00173F08" w:rsidRPr="001235ED" w:rsidRDefault="00173F08" w:rsidP="00822842">
            <w:pPr>
              <w:rPr>
                <w:rStyle w:val="InstructionsTabelleberschrift"/>
                <w:sz w:val="24"/>
                <w:rFonts w:ascii="Times New Roman" w:hAnsi="Times New Roman"/>
              </w:rPr>
            </w:pPr>
            <w:r>
              <w:rPr>
                <w:sz w:val="24"/>
                <w:rFonts w:ascii="Times New Roman" w:hAnsi="Times New Roman"/>
              </w:rPr>
              <w:t xml:space="preserve">Beloppet för systemriskbufferten ska rapporteras i denna cell.</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0470</w:t>
            </w:r>
          </w:p>
        </w:tc>
        <w:tc>
          <w:tcPr>
            <w:tcW w:w="8640" w:type="dxa"/>
          </w:tcPr>
          <w:p w14:paraId="1989B565" w14:textId="77777777" w:rsidR="00173F08" w:rsidRPr="002A677E" w:rsidRDefault="00173F08" w:rsidP="00822842">
            <w:pPr>
              <w:tabs>
                <w:tab w:val="left" w:pos="6660"/>
              </w:tabs>
              <w:rPr>
                <w:rStyle w:val="InstructionsTabelleberschrift"/>
                <w:sz w:val="24"/>
                <w:rFonts w:ascii="Times New Roman" w:hAnsi="Times New Roman"/>
              </w:rPr>
            </w:pPr>
            <w:r>
              <w:rPr>
                <w:rStyle w:val="InstructionsTabelleberschrift"/>
                <w:sz w:val="24"/>
                <w:rFonts w:ascii="Times New Roman" w:hAnsi="Times New Roman"/>
              </w:rPr>
              <w:t xml:space="preserve">BUFFERT FÖR GLOBALT SYSTEMVIKTIGT INSTITUT</w:t>
            </w:r>
            <w:r>
              <w:rPr>
                <w:rStyle w:val="InstructionsTabelleberschrift"/>
                <w:sz w:val="24"/>
                <w:rFonts w:ascii="Times New Roman" w:hAnsi="Times New Roman"/>
              </w:rPr>
              <w:tab/>
            </w:r>
          </w:p>
          <w:p w14:paraId="530093DF" w14:textId="77777777" w:rsidR="00173F08" w:rsidRPr="002A677E" w:rsidRDefault="00173F08" w:rsidP="00822842">
            <w:pPr>
              <w:pStyle w:val="InstructionsText"/>
              <w:rPr>
                <w:rStyle w:val="InstructionsTabelleberschrift"/>
                <w:b w:val="0"/>
              </w:rPr>
            </w:pPr>
            <w:r>
              <w:t xml:space="preserve">Artiklarna 128.3 och 131 i direktiv 2013/36/EU</w:t>
            </w:r>
          </w:p>
          <w:p w14:paraId="5835A3FB" w14:textId="77777777" w:rsidR="00173F08" w:rsidRPr="002A677E" w:rsidRDefault="00173F08" w:rsidP="00822842">
            <w:pPr>
              <w:pStyle w:val="InstructionsText"/>
              <w:rPr>
                <w:rStyle w:val="InstructionsTabelleberschrift"/>
              </w:rPr>
            </w:pPr>
            <w:r>
              <w:t xml:space="preserve">Beloppet för bufferten för globala systemviktiga institut ska rapporteras i denna cell.</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0480</w:t>
            </w:r>
          </w:p>
        </w:tc>
        <w:tc>
          <w:tcPr>
            <w:tcW w:w="8640" w:type="dxa"/>
          </w:tcPr>
          <w:p w14:paraId="7FDD0190" w14:textId="77777777" w:rsidR="00173F08" w:rsidRPr="002A677E" w:rsidRDefault="00173F08" w:rsidP="00822842">
            <w:pPr>
              <w:tabs>
                <w:tab w:val="left" w:pos="6315"/>
              </w:tabs>
              <w:rPr>
                <w:rStyle w:val="InstructionsTabelleberschrift"/>
                <w:sz w:val="24"/>
                <w:rFonts w:ascii="Times New Roman" w:hAnsi="Times New Roman"/>
              </w:rPr>
            </w:pPr>
            <w:r>
              <w:rPr>
                <w:rStyle w:val="InstructionsTabelleberschrift"/>
                <w:sz w:val="24"/>
                <w:rFonts w:ascii="Times New Roman" w:hAnsi="Times New Roman"/>
              </w:rPr>
              <w:t xml:space="preserve">BUFFERT FÖR ANDRA SYSTEMVIKTIGA INSTITUT</w:t>
            </w:r>
            <w:r>
              <w:rPr>
                <w:rStyle w:val="InstructionsTabelleberschrift"/>
                <w:sz w:val="24"/>
                <w:rFonts w:ascii="Times New Roman" w:hAnsi="Times New Roman"/>
              </w:rPr>
              <w:tab/>
            </w:r>
          </w:p>
          <w:p w14:paraId="5C91FC01" w14:textId="77777777" w:rsidR="00173F08" w:rsidRPr="002A677E" w:rsidRDefault="00173F08" w:rsidP="00822842">
            <w:pPr>
              <w:pStyle w:val="InstructionsText"/>
            </w:pPr>
            <w:r>
              <w:t xml:space="preserve">Artiklarna 128.4 och 131 i direktiv 2013/36/EU</w:t>
            </w:r>
          </w:p>
          <w:p w14:paraId="677D9498" w14:textId="77777777" w:rsidR="00173F08" w:rsidRPr="002A677E" w:rsidRDefault="00173F08" w:rsidP="00822842">
            <w:pPr>
              <w:pStyle w:val="InstructionsText"/>
              <w:rPr>
                <w:rStyle w:val="InstructionsTabelleberschrift"/>
              </w:rPr>
            </w:pPr>
            <w:r>
              <w:t xml:space="preserve">Beloppet för bufferten för andra systemviktiga institut ska rapporteras i denna cell.</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val="sv-SE"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7D6C62-760D-4D54-8C80-B3F27B15A359}"/>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3970</Words>
  <Characters>22635</Characters>
  <Application>Microsoft Office Word</Application>
  <DocSecurity>0</DocSecurity>
  <Lines>188</Lines>
  <Paragraphs>53</Paragraphs>
  <ScaleCrop>false</ScaleCrop>
  <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2024-07-05T07:53:00Z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